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61" w:rsidRPr="00624703" w:rsidRDefault="00017A61" w:rsidP="00624703">
      <w:pPr>
        <w:spacing w:line="360" w:lineRule="auto"/>
        <w:ind w:right="49"/>
        <w:jc w:val="both"/>
        <w:rPr>
          <w:rFonts w:ascii="Palatino Linotype" w:hAnsi="Palatino Linotype" w:cs="Arial"/>
          <w:b/>
        </w:rPr>
      </w:pPr>
      <w:bookmarkStart w:id="0" w:name="_GoBack"/>
      <w:bookmarkEnd w:id="0"/>
    </w:p>
    <w:p w:rsidR="00CC0EC5" w:rsidRPr="00624703" w:rsidRDefault="00CC0EC5" w:rsidP="00624703">
      <w:pPr>
        <w:spacing w:line="360" w:lineRule="auto"/>
        <w:ind w:right="49"/>
        <w:jc w:val="both"/>
        <w:rPr>
          <w:rFonts w:ascii="Palatino Linotype" w:hAnsi="Palatino Linotype" w:cs="Arial"/>
        </w:rPr>
      </w:pPr>
      <w:r w:rsidRPr="00624703">
        <w:rPr>
          <w:rFonts w:ascii="Palatino Linotype" w:hAnsi="Palatino Linotype" w:cs="Arial"/>
          <w:b/>
        </w:rPr>
        <w:t xml:space="preserve">VOTO </w:t>
      </w:r>
      <w:r w:rsidR="00D75081" w:rsidRPr="00624703">
        <w:rPr>
          <w:rFonts w:ascii="Palatino Linotype" w:hAnsi="Palatino Linotype" w:cs="Arial"/>
          <w:b/>
        </w:rPr>
        <w:t xml:space="preserve">PARTICULAR </w:t>
      </w:r>
      <w:r w:rsidRPr="00624703">
        <w:rPr>
          <w:rFonts w:ascii="Palatino Linotype" w:hAnsi="Palatino Linotype" w:cs="Arial"/>
          <w:b/>
        </w:rPr>
        <w:t>DEL COMISIONADO JOSÉ GUADALUPE LUNA HERNÁN</w:t>
      </w:r>
      <w:r w:rsidR="00D75081" w:rsidRPr="00624703">
        <w:rPr>
          <w:rFonts w:ascii="Palatino Linotype" w:hAnsi="Palatino Linotype" w:cs="Arial"/>
          <w:b/>
        </w:rPr>
        <w:t>DEZ</w:t>
      </w:r>
      <w:r w:rsidR="001E089B" w:rsidRPr="00624703">
        <w:rPr>
          <w:rFonts w:ascii="Palatino Linotype" w:hAnsi="Palatino Linotype" w:cs="Arial"/>
          <w:b/>
        </w:rPr>
        <w:t xml:space="preserve"> E</w:t>
      </w:r>
      <w:r w:rsidR="00DE647C" w:rsidRPr="00624703">
        <w:rPr>
          <w:rFonts w:ascii="Palatino Linotype" w:hAnsi="Palatino Linotype" w:cs="Arial"/>
          <w:b/>
        </w:rPr>
        <w:t>N EL RECURSO DE REVISIÓN 00807</w:t>
      </w:r>
      <w:r w:rsidR="00743244" w:rsidRPr="00624703">
        <w:rPr>
          <w:rFonts w:ascii="Palatino Linotype" w:hAnsi="Palatino Linotype" w:cs="Arial"/>
          <w:b/>
        </w:rPr>
        <w:t>/INFOEM/IP/RR/2019</w:t>
      </w:r>
      <w:r w:rsidR="00191742" w:rsidRPr="00624703">
        <w:rPr>
          <w:rFonts w:ascii="Palatino Linotype" w:hAnsi="Palatino Linotype" w:cs="Arial"/>
          <w:b/>
        </w:rPr>
        <w:t>.</w:t>
      </w:r>
      <w:r w:rsidR="00F95E27" w:rsidRPr="00624703">
        <w:rPr>
          <w:rFonts w:ascii="Palatino Linotype" w:hAnsi="Palatino Linotype" w:cs="Arial"/>
          <w:b/>
        </w:rPr>
        <w:t xml:space="preserve"> </w:t>
      </w:r>
    </w:p>
    <w:p w:rsidR="0044164A" w:rsidRPr="00624703" w:rsidRDefault="0044164A" w:rsidP="00624703">
      <w:pPr>
        <w:spacing w:line="360" w:lineRule="auto"/>
        <w:ind w:right="49"/>
        <w:jc w:val="both"/>
        <w:rPr>
          <w:rFonts w:ascii="Palatino Linotype" w:hAnsi="Palatino Linotype" w:cs="Arial"/>
          <w:b/>
          <w:bdr w:val="none" w:sz="0" w:space="0" w:color="auto"/>
        </w:rPr>
      </w:pPr>
    </w:p>
    <w:p w:rsidR="00C1591A" w:rsidRPr="00C1591A" w:rsidRDefault="00C1591A"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b/>
        </w:rPr>
      </w:pPr>
      <w:r w:rsidRPr="00C1591A">
        <w:rPr>
          <w:rFonts w:ascii="Palatino Linotype" w:hAnsi="Palatino Linotype" w:cs="Arial"/>
          <w:b/>
        </w:rPr>
        <w:t>RESUMEN DEL VOTO</w:t>
      </w:r>
    </w:p>
    <w:p w:rsidR="00C1591A" w:rsidRDefault="00C1591A"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26475A" w:rsidRPr="00624703" w:rsidRDefault="009A16E4"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r w:rsidRPr="00624703">
        <w:rPr>
          <w:rFonts w:ascii="Palatino Linotype" w:hAnsi="Palatino Linotype" w:cs="Arial"/>
        </w:rPr>
        <w:t>Es sumamente importante mencionar que los nombres de los servidores públicos, son de naturaleza pública</w:t>
      </w:r>
      <w:r w:rsidR="0026475A" w:rsidRPr="00624703">
        <w:rPr>
          <w:rFonts w:ascii="Palatino Linotype" w:hAnsi="Palatino Linotype" w:cs="Arial"/>
        </w:rPr>
        <w:t xml:space="preserve"> y por tanto la información que sea poseída, administrada </w:t>
      </w:r>
      <w:r w:rsidR="008037FF" w:rsidRPr="00624703">
        <w:rPr>
          <w:rFonts w:ascii="Palatino Linotype" w:hAnsi="Palatino Linotype" w:cs="Arial"/>
        </w:rPr>
        <w:t>o</w:t>
      </w:r>
      <w:r w:rsidR="0026475A" w:rsidRPr="00624703">
        <w:rPr>
          <w:rFonts w:ascii="Palatino Linotype" w:hAnsi="Palatino Linotype" w:cs="Arial"/>
        </w:rPr>
        <w:t xml:space="preserve"> generada por los mismos es dab</w:t>
      </w:r>
      <w:r w:rsidR="008037FF" w:rsidRPr="00624703">
        <w:rPr>
          <w:rFonts w:ascii="Palatino Linotype" w:hAnsi="Palatino Linotype" w:cs="Arial"/>
        </w:rPr>
        <w:t>le ser ordenada para su entrega;</w:t>
      </w:r>
      <w:r w:rsidR="0026475A" w:rsidRPr="00624703">
        <w:rPr>
          <w:rFonts w:ascii="Palatino Linotype" w:hAnsi="Palatino Linotype" w:cs="Arial"/>
        </w:rPr>
        <w:t xml:space="preserve"> sin embargo</w:t>
      </w:r>
      <w:r w:rsidR="008037FF" w:rsidRPr="00624703">
        <w:rPr>
          <w:rFonts w:ascii="Palatino Linotype" w:hAnsi="Palatino Linotype" w:cs="Arial"/>
        </w:rPr>
        <w:t>,</w:t>
      </w:r>
      <w:r w:rsidR="0026475A" w:rsidRPr="00624703">
        <w:rPr>
          <w:rFonts w:ascii="Palatino Linotype" w:hAnsi="Palatino Linotype" w:cs="Arial"/>
        </w:rPr>
        <w:t xml:space="preserve"> es importante puntualizar que la clasificación de información, es el acto excepcional de restricción de derechos, por lo que no basta que la hipótesis prevista para su configuración sea igual a las hipótesis que prevé la prueba de daño, sino que para ser configurada la clasificación de la información deberá ser desarrollada, y en el caso particular se deberá valorar el daño real que se ocasionaría a la entrega de la información. </w:t>
      </w:r>
    </w:p>
    <w:p w:rsidR="00022D14" w:rsidRPr="00624703" w:rsidRDefault="00022D14"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3D47" w:rsidRPr="00624703" w:rsidRDefault="0026475A" w:rsidP="00624703">
      <w:pPr>
        <w:pStyle w:val="Prrafodelista"/>
        <w:spacing w:line="360" w:lineRule="auto"/>
        <w:ind w:left="0" w:right="49"/>
        <w:jc w:val="both"/>
        <w:rPr>
          <w:rFonts w:ascii="Palatino Linotype" w:hAnsi="Palatino Linotype"/>
        </w:rPr>
      </w:pPr>
      <w:r w:rsidRPr="00624703">
        <w:rPr>
          <w:rFonts w:ascii="Palatino Linotype" w:hAnsi="Palatino Linotype"/>
        </w:rPr>
        <w:t xml:space="preserve">Si derivado de la </w:t>
      </w:r>
      <w:r w:rsidR="001337C6" w:rsidRPr="00624703">
        <w:rPr>
          <w:rFonts w:ascii="Palatino Linotype" w:hAnsi="Palatino Linotype"/>
        </w:rPr>
        <w:t xml:space="preserve">información </w:t>
      </w:r>
      <w:r w:rsidRPr="00624703">
        <w:rPr>
          <w:rFonts w:ascii="Palatino Linotype" w:hAnsi="Palatino Linotype"/>
        </w:rPr>
        <w:t>que se ordena entregar pudiera existir información relativa a servidores públicos que pertenezcan al ámbito de seg</w:t>
      </w:r>
      <w:r w:rsidR="00DC3B83" w:rsidRPr="00624703">
        <w:rPr>
          <w:rFonts w:ascii="Palatino Linotype" w:hAnsi="Palatino Linotype"/>
        </w:rPr>
        <w:t xml:space="preserve">uridad pública, y la entrega de información correspondiente al nombre </w:t>
      </w:r>
      <w:r w:rsidR="008037FF" w:rsidRPr="00624703">
        <w:rPr>
          <w:rFonts w:ascii="Palatino Linotype" w:hAnsi="Palatino Linotype"/>
        </w:rPr>
        <w:t>ponga en riesgo</w:t>
      </w:r>
      <w:r w:rsidR="00DC3B83" w:rsidRPr="00624703">
        <w:rPr>
          <w:rFonts w:ascii="Palatino Linotype" w:hAnsi="Palatino Linotype"/>
        </w:rPr>
        <w:t xml:space="preserve"> a </w:t>
      </w:r>
      <w:r w:rsidRPr="00624703">
        <w:rPr>
          <w:rFonts w:ascii="Palatino Linotype" w:hAnsi="Palatino Linotype"/>
        </w:rPr>
        <w:t xml:space="preserve">los integrantes derivado de las funciones </w:t>
      </w:r>
      <w:r w:rsidR="00022D14" w:rsidRPr="00624703">
        <w:rPr>
          <w:rFonts w:ascii="Palatino Linotype" w:hAnsi="Palatino Linotype"/>
        </w:rPr>
        <w:t xml:space="preserve">encomendadas como; </w:t>
      </w:r>
      <w:r w:rsidRPr="00624703">
        <w:rPr>
          <w:rFonts w:ascii="Palatino Linotype" w:hAnsi="Palatino Linotype"/>
        </w:rPr>
        <w:t xml:space="preserve">la prevención de los delitos, investigación y persecución para hacerla efectiva, el </w:t>
      </w:r>
      <w:r w:rsidR="007F7E66" w:rsidRPr="00624703">
        <w:rPr>
          <w:rFonts w:ascii="Palatino Linotype" w:hAnsi="Palatino Linotype"/>
          <w:b/>
        </w:rPr>
        <w:t>Sujeto Obligado</w:t>
      </w:r>
      <w:r w:rsidRPr="00624703">
        <w:rPr>
          <w:rFonts w:ascii="Palatino Linotype" w:hAnsi="Palatino Linotype"/>
          <w:b/>
        </w:rPr>
        <w:t xml:space="preserve"> </w:t>
      </w:r>
      <w:r w:rsidRPr="00624703">
        <w:rPr>
          <w:rFonts w:ascii="Palatino Linotype" w:hAnsi="Palatino Linotype"/>
        </w:rPr>
        <w:t xml:space="preserve">deberá proteger </w:t>
      </w:r>
      <w:r w:rsidR="00DC3B83" w:rsidRPr="00624703">
        <w:rPr>
          <w:rFonts w:ascii="Palatino Linotype" w:hAnsi="Palatino Linotype"/>
        </w:rPr>
        <w:t>el  dato</w:t>
      </w:r>
      <w:r w:rsidRPr="00624703">
        <w:rPr>
          <w:rFonts w:ascii="Palatino Linotype" w:hAnsi="Palatino Linotype"/>
        </w:rPr>
        <w:t xml:space="preserve"> de</w:t>
      </w:r>
      <w:r w:rsidR="00022D14" w:rsidRPr="00624703">
        <w:rPr>
          <w:rFonts w:ascii="Palatino Linotype" w:hAnsi="Palatino Linotype"/>
        </w:rPr>
        <w:t xml:space="preserve"> los mismos</w:t>
      </w:r>
      <w:r w:rsidRPr="00624703">
        <w:rPr>
          <w:rFonts w:ascii="Palatino Linotype" w:hAnsi="Palatino Linotype"/>
        </w:rPr>
        <w:t xml:space="preserve">, </w:t>
      </w:r>
      <w:r w:rsidR="00022D14" w:rsidRPr="00624703">
        <w:rPr>
          <w:rFonts w:ascii="Palatino Linotype" w:hAnsi="Palatino Linotype"/>
        </w:rPr>
        <w:t xml:space="preserve">por lo que </w:t>
      </w:r>
      <w:r w:rsidRPr="00624703">
        <w:rPr>
          <w:rFonts w:ascii="Palatino Linotype" w:hAnsi="Palatino Linotype"/>
        </w:rPr>
        <w:t xml:space="preserve">la entrega de la información habrá de disociarse, es decir, los datos personales de los policías no pueden asociarse a sus </w:t>
      </w:r>
      <w:r w:rsidRPr="00624703">
        <w:rPr>
          <w:rFonts w:ascii="Palatino Linotype" w:hAnsi="Palatino Linotype"/>
        </w:rPr>
        <w:lastRenderedPageBreak/>
        <w:t>titulares, ni permitir por su estructura, contenido o grado de desagregación, la identificación individual de los mismos</w:t>
      </w:r>
      <w:r w:rsidR="00022D14" w:rsidRPr="00624703">
        <w:rPr>
          <w:rFonts w:ascii="Palatino Linotype" w:hAnsi="Palatino Linotype"/>
        </w:rPr>
        <w:t>.</w:t>
      </w: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01698D" w:rsidRDefault="0001698D" w:rsidP="00624703">
          <w:pPr>
            <w:spacing w:line="360" w:lineRule="auto"/>
            <w:ind w:right="49"/>
            <w:rPr>
              <w:rFonts w:ascii="Palatino Linotype" w:hAnsi="Palatino Linotype"/>
              <w:color w:val="2E74B5" w:themeColor="accent1" w:themeShade="BF"/>
              <w:lang w:val="es-ES"/>
            </w:rPr>
          </w:pPr>
        </w:p>
        <w:p w:rsidR="00C1591A" w:rsidRPr="00624703" w:rsidRDefault="00C1591A" w:rsidP="00624703">
          <w:pPr>
            <w:spacing w:line="360" w:lineRule="auto"/>
            <w:ind w:right="49"/>
            <w:rPr>
              <w:rFonts w:ascii="Palatino Linotype" w:hAnsi="Palatino Linotype"/>
              <w:color w:val="2E74B5" w:themeColor="accent1" w:themeShade="BF"/>
              <w:lang w:val="es-ES"/>
            </w:rPr>
          </w:pPr>
        </w:p>
        <w:p w:rsidR="00F436A4" w:rsidRPr="00624703" w:rsidRDefault="00CB061F" w:rsidP="00624703">
          <w:pPr>
            <w:spacing w:line="360" w:lineRule="auto"/>
            <w:ind w:right="49"/>
            <w:rPr>
              <w:rFonts w:ascii="Palatino Linotype" w:hAnsi="Palatino Linotype"/>
              <w:b/>
              <w:color w:val="000000" w:themeColor="text1"/>
              <w:lang w:val="es-ES"/>
            </w:rPr>
          </w:pPr>
          <w:r w:rsidRPr="00624703">
            <w:rPr>
              <w:rFonts w:ascii="Palatino Linotype" w:hAnsi="Palatino Linotype"/>
              <w:b/>
              <w:color w:val="000000" w:themeColor="text1"/>
              <w:lang w:val="es-ES"/>
            </w:rPr>
            <w:t>Índice</w:t>
          </w:r>
        </w:p>
        <w:p w:rsidR="0001698D" w:rsidRPr="00624703" w:rsidRDefault="0001698D" w:rsidP="00624703">
          <w:pPr>
            <w:spacing w:line="360" w:lineRule="auto"/>
            <w:ind w:right="49"/>
            <w:rPr>
              <w:rFonts w:ascii="Palatino Linotype" w:hAnsi="Palatino Linotype"/>
              <w:b/>
              <w:color w:val="000000" w:themeColor="text1"/>
              <w:lang w:val="es-ES"/>
            </w:rPr>
          </w:pPr>
        </w:p>
        <w:p w:rsidR="0001698D" w:rsidRPr="00624703" w:rsidRDefault="00B82DF9" w:rsidP="00624703">
          <w:pPr>
            <w:pStyle w:val="TDC1"/>
            <w:spacing w:after="0"/>
            <w:ind w:right="49"/>
            <w:rPr>
              <w:rFonts w:eastAsiaTheme="minorEastAsia" w:cstheme="minorBidi"/>
              <w:noProof/>
              <w:bdr w:val="none" w:sz="0" w:space="0" w:color="auto"/>
              <w:lang w:eastAsia="es-MX"/>
            </w:rPr>
          </w:pPr>
          <w:r w:rsidRPr="00624703">
            <w:rPr>
              <w:b/>
            </w:rPr>
            <w:fldChar w:fldCharType="begin"/>
          </w:r>
          <w:r w:rsidRPr="00624703">
            <w:rPr>
              <w:b/>
            </w:rPr>
            <w:instrText xml:space="preserve"> TOC \o "1-3" \h \z \u </w:instrText>
          </w:r>
          <w:r w:rsidRPr="00624703">
            <w:rPr>
              <w:b/>
            </w:rPr>
            <w:fldChar w:fldCharType="separate"/>
          </w:r>
          <w:hyperlink w:anchor="_Toc4673747" w:history="1">
            <w:r w:rsidR="0001698D" w:rsidRPr="00624703">
              <w:rPr>
                <w:rStyle w:val="Hipervnculo"/>
                <w:rFonts w:eastAsiaTheme="majorEastAsia" w:cstheme="majorBidi"/>
                <w:b/>
                <w:noProof/>
              </w:rPr>
              <w:t>I. Consideraciones Generales</w:t>
            </w:r>
            <w:r w:rsidR="0001698D" w:rsidRPr="00624703">
              <w:rPr>
                <w:noProof/>
                <w:webHidden/>
              </w:rPr>
              <w:tab/>
            </w:r>
            <w:r w:rsidR="0001698D" w:rsidRPr="00624703">
              <w:rPr>
                <w:noProof/>
                <w:webHidden/>
              </w:rPr>
              <w:fldChar w:fldCharType="begin"/>
            </w:r>
            <w:r w:rsidR="0001698D" w:rsidRPr="00624703">
              <w:rPr>
                <w:noProof/>
                <w:webHidden/>
              </w:rPr>
              <w:instrText xml:space="preserve"> PAGEREF _Toc4673747 \h </w:instrText>
            </w:r>
            <w:r w:rsidR="0001698D" w:rsidRPr="00624703">
              <w:rPr>
                <w:noProof/>
                <w:webHidden/>
              </w:rPr>
            </w:r>
            <w:r w:rsidR="0001698D" w:rsidRPr="00624703">
              <w:rPr>
                <w:noProof/>
                <w:webHidden/>
              </w:rPr>
              <w:fldChar w:fldCharType="separate"/>
            </w:r>
            <w:r w:rsidR="001C2D4D">
              <w:rPr>
                <w:noProof/>
                <w:webHidden/>
              </w:rPr>
              <w:t>2</w:t>
            </w:r>
            <w:r w:rsidR="0001698D" w:rsidRPr="00624703">
              <w:rPr>
                <w:noProof/>
                <w:webHidden/>
              </w:rPr>
              <w:fldChar w:fldCharType="end"/>
            </w:r>
          </w:hyperlink>
        </w:p>
        <w:p w:rsidR="0001698D" w:rsidRPr="00624703" w:rsidRDefault="006867CA" w:rsidP="00624703">
          <w:pPr>
            <w:pStyle w:val="TDC1"/>
            <w:spacing w:after="0"/>
            <w:ind w:right="49"/>
            <w:rPr>
              <w:rFonts w:eastAsiaTheme="minorEastAsia" w:cstheme="minorBidi"/>
              <w:noProof/>
              <w:bdr w:val="none" w:sz="0" w:space="0" w:color="auto"/>
              <w:lang w:eastAsia="es-MX"/>
            </w:rPr>
          </w:pPr>
          <w:hyperlink w:anchor="_Toc4673748" w:history="1">
            <w:r w:rsidR="0001698D" w:rsidRPr="00624703">
              <w:rPr>
                <w:rStyle w:val="Hipervnculo"/>
                <w:noProof/>
              </w:rPr>
              <w:t>II.</w:t>
            </w:r>
            <w:r w:rsidR="0001698D" w:rsidRPr="00624703">
              <w:rPr>
                <w:rFonts w:eastAsiaTheme="minorEastAsia" w:cstheme="minorBidi"/>
                <w:noProof/>
                <w:bdr w:val="none" w:sz="0" w:space="0" w:color="auto"/>
                <w:lang w:eastAsia="es-MX"/>
              </w:rPr>
              <w:tab/>
            </w:r>
            <w:r w:rsidR="0001698D" w:rsidRPr="00624703">
              <w:rPr>
                <w:rStyle w:val="Hipervnculo"/>
                <w:noProof/>
              </w:rPr>
              <w:t>De los requerimientos planteados en el recurso de revisión.</w:t>
            </w:r>
            <w:r w:rsidR="0001698D" w:rsidRPr="00624703">
              <w:rPr>
                <w:noProof/>
                <w:webHidden/>
              </w:rPr>
              <w:tab/>
            </w:r>
            <w:r w:rsidR="0001698D" w:rsidRPr="00624703">
              <w:rPr>
                <w:noProof/>
                <w:webHidden/>
              </w:rPr>
              <w:fldChar w:fldCharType="begin"/>
            </w:r>
            <w:r w:rsidR="0001698D" w:rsidRPr="00624703">
              <w:rPr>
                <w:noProof/>
                <w:webHidden/>
              </w:rPr>
              <w:instrText xml:space="preserve"> PAGEREF _Toc4673748 \h </w:instrText>
            </w:r>
            <w:r w:rsidR="0001698D" w:rsidRPr="00624703">
              <w:rPr>
                <w:noProof/>
                <w:webHidden/>
              </w:rPr>
            </w:r>
            <w:r w:rsidR="0001698D" w:rsidRPr="00624703">
              <w:rPr>
                <w:noProof/>
                <w:webHidden/>
              </w:rPr>
              <w:fldChar w:fldCharType="separate"/>
            </w:r>
            <w:r w:rsidR="001C2D4D">
              <w:rPr>
                <w:noProof/>
                <w:webHidden/>
              </w:rPr>
              <w:t>3</w:t>
            </w:r>
            <w:r w:rsidR="0001698D" w:rsidRPr="00624703">
              <w:rPr>
                <w:noProof/>
                <w:webHidden/>
              </w:rPr>
              <w:fldChar w:fldCharType="end"/>
            </w:r>
          </w:hyperlink>
        </w:p>
        <w:p w:rsidR="0001698D" w:rsidRPr="00624703" w:rsidRDefault="006867CA" w:rsidP="00624703">
          <w:pPr>
            <w:pStyle w:val="TDC1"/>
            <w:spacing w:after="0"/>
            <w:ind w:right="49"/>
            <w:rPr>
              <w:rFonts w:eastAsiaTheme="minorEastAsia" w:cstheme="minorBidi"/>
              <w:noProof/>
              <w:bdr w:val="none" w:sz="0" w:space="0" w:color="auto"/>
              <w:lang w:eastAsia="es-MX"/>
            </w:rPr>
          </w:pPr>
          <w:hyperlink w:anchor="_Toc4673749" w:history="1">
            <w:r w:rsidR="0001698D" w:rsidRPr="00624703">
              <w:rPr>
                <w:rStyle w:val="Hipervnculo"/>
                <w:noProof/>
              </w:rPr>
              <w:t>III.</w:t>
            </w:r>
            <w:r w:rsidR="0001698D" w:rsidRPr="00624703">
              <w:rPr>
                <w:rFonts w:eastAsiaTheme="minorEastAsia" w:cstheme="minorBidi"/>
                <w:noProof/>
                <w:bdr w:val="none" w:sz="0" w:space="0" w:color="auto"/>
                <w:lang w:eastAsia="es-MX"/>
              </w:rPr>
              <w:tab/>
            </w:r>
            <w:r w:rsidR="0001698D" w:rsidRPr="00624703">
              <w:rPr>
                <w:rStyle w:val="Hipervnculo"/>
                <w:noProof/>
              </w:rPr>
              <w:t>Del estudio de la ponencia.</w:t>
            </w:r>
            <w:r w:rsidR="0001698D" w:rsidRPr="00624703">
              <w:rPr>
                <w:noProof/>
                <w:webHidden/>
              </w:rPr>
              <w:tab/>
            </w:r>
            <w:r w:rsidR="0001698D" w:rsidRPr="00624703">
              <w:rPr>
                <w:noProof/>
                <w:webHidden/>
              </w:rPr>
              <w:fldChar w:fldCharType="begin"/>
            </w:r>
            <w:r w:rsidR="0001698D" w:rsidRPr="00624703">
              <w:rPr>
                <w:noProof/>
                <w:webHidden/>
              </w:rPr>
              <w:instrText xml:space="preserve"> PAGEREF _Toc4673749 \h </w:instrText>
            </w:r>
            <w:r w:rsidR="0001698D" w:rsidRPr="00624703">
              <w:rPr>
                <w:noProof/>
                <w:webHidden/>
              </w:rPr>
            </w:r>
            <w:r w:rsidR="0001698D" w:rsidRPr="00624703">
              <w:rPr>
                <w:noProof/>
                <w:webHidden/>
              </w:rPr>
              <w:fldChar w:fldCharType="separate"/>
            </w:r>
            <w:r w:rsidR="001C2D4D">
              <w:rPr>
                <w:noProof/>
                <w:webHidden/>
              </w:rPr>
              <w:t>4</w:t>
            </w:r>
            <w:r w:rsidR="0001698D" w:rsidRPr="00624703">
              <w:rPr>
                <w:noProof/>
                <w:webHidden/>
              </w:rPr>
              <w:fldChar w:fldCharType="end"/>
            </w:r>
          </w:hyperlink>
        </w:p>
        <w:p w:rsidR="0001698D" w:rsidRPr="00624703" w:rsidRDefault="006867CA" w:rsidP="00624703">
          <w:pPr>
            <w:pStyle w:val="TDC1"/>
            <w:spacing w:after="0"/>
            <w:ind w:right="49"/>
            <w:rPr>
              <w:rFonts w:eastAsiaTheme="minorEastAsia" w:cstheme="minorBidi"/>
              <w:noProof/>
              <w:bdr w:val="none" w:sz="0" w:space="0" w:color="auto"/>
              <w:lang w:eastAsia="es-MX"/>
            </w:rPr>
          </w:pPr>
          <w:hyperlink w:anchor="_Toc4673750" w:history="1">
            <w:r w:rsidR="0001698D" w:rsidRPr="00624703">
              <w:rPr>
                <w:rStyle w:val="Hipervnculo"/>
                <w:noProof/>
              </w:rPr>
              <w:t>IV.</w:t>
            </w:r>
            <w:r w:rsidR="0001698D" w:rsidRPr="00624703">
              <w:rPr>
                <w:rFonts w:eastAsiaTheme="minorEastAsia" w:cstheme="minorBidi"/>
                <w:noProof/>
                <w:bdr w:val="none" w:sz="0" w:space="0" w:color="auto"/>
                <w:lang w:eastAsia="es-MX"/>
              </w:rPr>
              <w:tab/>
            </w:r>
            <w:r w:rsidR="0001698D" w:rsidRPr="00624703">
              <w:rPr>
                <w:rStyle w:val="Hipervnculo"/>
                <w:noProof/>
              </w:rPr>
              <w:t>Del personal de seguridad pública.</w:t>
            </w:r>
            <w:r w:rsidR="0001698D" w:rsidRPr="00624703">
              <w:rPr>
                <w:noProof/>
                <w:webHidden/>
              </w:rPr>
              <w:tab/>
            </w:r>
            <w:r w:rsidR="0001698D" w:rsidRPr="00624703">
              <w:rPr>
                <w:noProof/>
                <w:webHidden/>
              </w:rPr>
              <w:fldChar w:fldCharType="begin"/>
            </w:r>
            <w:r w:rsidR="0001698D" w:rsidRPr="00624703">
              <w:rPr>
                <w:noProof/>
                <w:webHidden/>
              </w:rPr>
              <w:instrText xml:space="preserve"> PAGEREF _Toc4673750 \h </w:instrText>
            </w:r>
            <w:r w:rsidR="0001698D" w:rsidRPr="00624703">
              <w:rPr>
                <w:noProof/>
                <w:webHidden/>
              </w:rPr>
            </w:r>
            <w:r w:rsidR="0001698D" w:rsidRPr="00624703">
              <w:rPr>
                <w:noProof/>
                <w:webHidden/>
              </w:rPr>
              <w:fldChar w:fldCharType="separate"/>
            </w:r>
            <w:r w:rsidR="001C2D4D">
              <w:rPr>
                <w:noProof/>
                <w:webHidden/>
              </w:rPr>
              <w:t>6</w:t>
            </w:r>
            <w:r w:rsidR="0001698D" w:rsidRPr="00624703">
              <w:rPr>
                <w:noProof/>
                <w:webHidden/>
              </w:rPr>
              <w:fldChar w:fldCharType="end"/>
            </w:r>
          </w:hyperlink>
        </w:p>
        <w:p w:rsidR="0001698D" w:rsidRPr="00624703" w:rsidRDefault="006867CA" w:rsidP="00624703">
          <w:pPr>
            <w:pStyle w:val="TDC1"/>
            <w:spacing w:after="0"/>
            <w:ind w:right="49"/>
            <w:rPr>
              <w:rFonts w:eastAsiaTheme="minorEastAsia" w:cstheme="minorBidi"/>
              <w:noProof/>
              <w:bdr w:val="none" w:sz="0" w:space="0" w:color="auto"/>
              <w:lang w:eastAsia="es-MX"/>
            </w:rPr>
          </w:pPr>
          <w:hyperlink w:anchor="_Toc4673751" w:history="1">
            <w:r w:rsidR="0001698D" w:rsidRPr="00624703">
              <w:rPr>
                <w:rStyle w:val="Hipervnculo"/>
                <w:noProof/>
              </w:rPr>
              <w:t>V.</w:t>
            </w:r>
            <w:r w:rsidR="0001698D" w:rsidRPr="00624703">
              <w:rPr>
                <w:rFonts w:eastAsiaTheme="minorEastAsia" w:cstheme="minorBidi"/>
                <w:noProof/>
                <w:bdr w:val="none" w:sz="0" w:space="0" w:color="auto"/>
                <w:lang w:eastAsia="es-MX"/>
              </w:rPr>
              <w:tab/>
            </w:r>
            <w:r w:rsidR="0001698D" w:rsidRPr="00624703">
              <w:rPr>
                <w:rStyle w:val="Hipervnculo"/>
                <w:noProof/>
              </w:rPr>
              <w:t>De la disociación.</w:t>
            </w:r>
            <w:r w:rsidR="0001698D" w:rsidRPr="00624703">
              <w:rPr>
                <w:noProof/>
                <w:webHidden/>
              </w:rPr>
              <w:tab/>
            </w:r>
            <w:r w:rsidR="0001698D" w:rsidRPr="00624703">
              <w:rPr>
                <w:noProof/>
                <w:webHidden/>
              </w:rPr>
              <w:fldChar w:fldCharType="begin"/>
            </w:r>
            <w:r w:rsidR="0001698D" w:rsidRPr="00624703">
              <w:rPr>
                <w:noProof/>
                <w:webHidden/>
              </w:rPr>
              <w:instrText xml:space="preserve"> PAGEREF _Toc4673751 \h </w:instrText>
            </w:r>
            <w:r w:rsidR="0001698D" w:rsidRPr="00624703">
              <w:rPr>
                <w:noProof/>
                <w:webHidden/>
              </w:rPr>
            </w:r>
            <w:r w:rsidR="0001698D" w:rsidRPr="00624703">
              <w:rPr>
                <w:noProof/>
                <w:webHidden/>
              </w:rPr>
              <w:fldChar w:fldCharType="separate"/>
            </w:r>
            <w:r w:rsidR="001C2D4D">
              <w:rPr>
                <w:noProof/>
                <w:webHidden/>
              </w:rPr>
              <w:t>7</w:t>
            </w:r>
            <w:r w:rsidR="0001698D" w:rsidRPr="00624703">
              <w:rPr>
                <w:noProof/>
                <w:webHidden/>
              </w:rPr>
              <w:fldChar w:fldCharType="end"/>
            </w:r>
          </w:hyperlink>
        </w:p>
        <w:p w:rsidR="00017A61" w:rsidRPr="00624703" w:rsidRDefault="00B82DF9" w:rsidP="00624703">
          <w:pPr>
            <w:spacing w:line="360" w:lineRule="auto"/>
            <w:ind w:right="49"/>
            <w:rPr>
              <w:rFonts w:ascii="Palatino Linotype" w:hAnsi="Palatino Linotype"/>
              <w:b/>
              <w:bCs/>
              <w:color w:val="000000" w:themeColor="text1"/>
            </w:rPr>
          </w:pPr>
          <w:r w:rsidRPr="00624703">
            <w:rPr>
              <w:rFonts w:ascii="Palatino Linotype" w:hAnsi="Palatino Linotype"/>
              <w:b/>
              <w:bCs/>
              <w:color w:val="000000" w:themeColor="text1"/>
            </w:rPr>
            <w:fldChar w:fldCharType="end"/>
          </w:r>
        </w:p>
        <w:p w:rsidR="00C1591A" w:rsidRDefault="00C1591A" w:rsidP="00624703">
          <w:pPr>
            <w:spacing w:line="360" w:lineRule="auto"/>
            <w:ind w:right="49"/>
            <w:rPr>
              <w:rFonts w:ascii="Palatino Linotype" w:hAnsi="Palatino Linotype"/>
              <w:b/>
              <w:bCs/>
              <w:color w:val="000000" w:themeColor="text1"/>
            </w:rPr>
          </w:pPr>
        </w:p>
        <w:p w:rsidR="00A43D47" w:rsidRPr="00624703" w:rsidRDefault="006867CA" w:rsidP="00624703">
          <w:pPr>
            <w:spacing w:line="360" w:lineRule="auto"/>
            <w:ind w:right="49"/>
            <w:rPr>
              <w:rFonts w:ascii="Palatino Linotype" w:hAnsi="Palatino Linotype"/>
              <w:b/>
              <w:bCs/>
              <w:color w:val="000000" w:themeColor="text1"/>
            </w:rPr>
          </w:pPr>
        </w:p>
      </w:sdtContent>
    </w:sdt>
    <w:bookmarkStart w:id="1" w:name="_Toc493504860" w:displacedByCustomXml="prev"/>
    <w:p w:rsidR="00A3395D" w:rsidRPr="00624703" w:rsidRDefault="00343467" w:rsidP="0062470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
        <w:outlineLvl w:val="0"/>
        <w:rPr>
          <w:rFonts w:ascii="Palatino Linotype" w:eastAsiaTheme="majorEastAsia" w:hAnsi="Palatino Linotype" w:cstheme="majorBidi"/>
          <w:b/>
        </w:rPr>
      </w:pPr>
      <w:bookmarkStart w:id="2" w:name="_Toc4673747"/>
      <w:r w:rsidRPr="00624703">
        <w:rPr>
          <w:rFonts w:ascii="Palatino Linotype" w:eastAsiaTheme="majorEastAsia" w:hAnsi="Palatino Linotype" w:cstheme="majorBidi"/>
          <w:b/>
        </w:rPr>
        <w:t xml:space="preserve">I. </w:t>
      </w:r>
      <w:r w:rsidR="00A3395D" w:rsidRPr="00624703">
        <w:rPr>
          <w:rFonts w:ascii="Palatino Linotype" w:eastAsiaTheme="majorEastAsia" w:hAnsi="Palatino Linotype" w:cstheme="majorBidi"/>
          <w:b/>
        </w:rPr>
        <w:t>Consideraciones Generales</w:t>
      </w:r>
      <w:bookmarkEnd w:id="1"/>
      <w:bookmarkEnd w:id="2"/>
    </w:p>
    <w:p w:rsidR="00A3395D" w:rsidRPr="00624703" w:rsidRDefault="00A3395D"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color w:val="000000" w:themeColor="text1"/>
        </w:rPr>
      </w:pPr>
    </w:p>
    <w:p w:rsidR="00CC0EC5" w:rsidRPr="00624703" w:rsidRDefault="00B97430"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eastAsia="Times New Roman" w:hAnsi="Palatino Linotype" w:cs="Arial"/>
          <w:lang w:val="es-ES_tradnl"/>
        </w:rPr>
        <w:t>He concurrido con mi voto particular</w:t>
      </w:r>
      <w:r w:rsidR="0044164A" w:rsidRPr="00624703">
        <w:rPr>
          <w:rFonts w:ascii="Palatino Linotype" w:eastAsia="Times New Roman" w:hAnsi="Palatino Linotype" w:cs="Arial"/>
          <w:lang w:val="es-ES_tradnl"/>
        </w:rPr>
        <w:t xml:space="preserve"> </w:t>
      </w:r>
      <w:r w:rsidRPr="00624703">
        <w:rPr>
          <w:rFonts w:ascii="Palatino Linotype" w:eastAsia="Times New Roman" w:hAnsi="Palatino Linotype" w:cs="Arial"/>
          <w:lang w:val="es-ES_tradnl"/>
        </w:rPr>
        <w:t>en</w:t>
      </w:r>
      <w:r w:rsidR="00CC0EC5" w:rsidRPr="00624703">
        <w:rPr>
          <w:rFonts w:ascii="Palatino Linotype" w:eastAsia="Times New Roman" w:hAnsi="Palatino Linotype" w:cs="Arial"/>
          <w:lang w:val="es-ES_tradnl"/>
        </w:rPr>
        <w:t xml:space="preserve"> la presente resolución emitida </w:t>
      </w:r>
      <w:r w:rsidR="00CC0EC5" w:rsidRPr="00624703">
        <w:rPr>
          <w:rFonts w:ascii="Palatino Linotype" w:hAnsi="Palatino Linotype" w:cs="Arial"/>
        </w:rPr>
        <w:t>por el Pleno del Instituto de Transparencia, Acceso a la Información Pública y Protección de Datos Personales del Estado de Méxic</w:t>
      </w:r>
      <w:r w:rsidRPr="00624703">
        <w:rPr>
          <w:rFonts w:ascii="Palatino Linotype" w:hAnsi="Palatino Linotype" w:cs="Arial"/>
        </w:rPr>
        <w:t xml:space="preserve">o y Municipios, en su </w:t>
      </w:r>
      <w:r w:rsidR="001C42A5" w:rsidRPr="00624703">
        <w:rPr>
          <w:rFonts w:ascii="Palatino Linotype" w:hAnsi="Palatino Linotype" w:cs="Arial"/>
        </w:rPr>
        <w:t>Décimo Quinta</w:t>
      </w:r>
      <w:r w:rsidR="0001698D" w:rsidRPr="00624703">
        <w:rPr>
          <w:rFonts w:ascii="Palatino Linotype" w:hAnsi="Palatino Linotype" w:cs="Arial"/>
        </w:rPr>
        <w:t xml:space="preserve"> Sesión</w:t>
      </w:r>
      <w:r w:rsidR="00743244" w:rsidRPr="00624703">
        <w:rPr>
          <w:rFonts w:ascii="Palatino Linotype" w:hAnsi="Palatino Linotype" w:cs="Arial"/>
        </w:rPr>
        <w:t xml:space="preserve"> </w:t>
      </w:r>
      <w:r w:rsidR="00CC0EC5" w:rsidRPr="00624703">
        <w:rPr>
          <w:rFonts w:ascii="Palatino Linotype" w:hAnsi="Palatino Linotype" w:cs="Arial"/>
        </w:rPr>
        <w:t xml:space="preserve">Ordinaria de fecha </w:t>
      </w:r>
      <w:r w:rsidR="00132B03" w:rsidRPr="00624703">
        <w:rPr>
          <w:rFonts w:ascii="Palatino Linotype" w:hAnsi="Palatino Linotype" w:cs="Arial"/>
        </w:rPr>
        <w:t xml:space="preserve">veinticuatro </w:t>
      </w:r>
      <w:r w:rsidR="00B32143" w:rsidRPr="00624703">
        <w:rPr>
          <w:rFonts w:ascii="Palatino Linotype" w:hAnsi="Palatino Linotype" w:cs="Arial"/>
        </w:rPr>
        <w:t>(</w:t>
      </w:r>
      <w:r w:rsidR="00132B03" w:rsidRPr="00624703">
        <w:rPr>
          <w:rFonts w:ascii="Palatino Linotype" w:hAnsi="Palatino Linotype" w:cs="Arial"/>
        </w:rPr>
        <w:t>24</w:t>
      </w:r>
      <w:r w:rsidR="00B1415F" w:rsidRPr="00624703">
        <w:rPr>
          <w:rFonts w:ascii="Palatino Linotype" w:hAnsi="Palatino Linotype" w:cs="Arial"/>
        </w:rPr>
        <w:t xml:space="preserve">) de </w:t>
      </w:r>
      <w:r w:rsidR="00132B03" w:rsidRPr="00624703">
        <w:rPr>
          <w:rFonts w:ascii="Palatino Linotype" w:hAnsi="Palatino Linotype" w:cs="Arial"/>
        </w:rPr>
        <w:t>abril</w:t>
      </w:r>
      <w:r w:rsidR="00CC0EC5" w:rsidRPr="00624703">
        <w:rPr>
          <w:rFonts w:ascii="Palatino Linotype" w:hAnsi="Palatino Linotype" w:cs="Arial"/>
        </w:rPr>
        <w:t xml:space="preserve"> de dos mil dieci</w:t>
      </w:r>
      <w:r w:rsidR="00F7127D" w:rsidRPr="00624703">
        <w:rPr>
          <w:rFonts w:ascii="Palatino Linotype" w:hAnsi="Palatino Linotype" w:cs="Arial"/>
        </w:rPr>
        <w:t>nueve</w:t>
      </w:r>
      <w:r w:rsidR="00CC0EC5" w:rsidRPr="00624703">
        <w:rPr>
          <w:rFonts w:ascii="Palatino Linotype" w:hAnsi="Palatino Linotype" w:cs="Arial"/>
        </w:rPr>
        <w:t xml:space="preserve">, en el recurso de revisión promovido </w:t>
      </w:r>
      <w:r w:rsidR="008037FF" w:rsidRPr="00624703">
        <w:rPr>
          <w:rFonts w:ascii="Palatino Linotype" w:hAnsi="Palatino Linotype" w:cs="Arial"/>
        </w:rPr>
        <w:t>en contra de la falta de</w:t>
      </w:r>
      <w:r w:rsidR="00F511B5" w:rsidRPr="00624703">
        <w:rPr>
          <w:rFonts w:ascii="Palatino Linotype" w:hAnsi="Palatino Linotype" w:cs="Arial"/>
        </w:rPr>
        <w:t xml:space="preserve"> respuesta del </w:t>
      </w:r>
      <w:r w:rsidR="00132B03" w:rsidRPr="00624703">
        <w:rPr>
          <w:rFonts w:ascii="Palatino Linotype" w:hAnsi="Palatino Linotype" w:cs="Arial"/>
          <w:b/>
        </w:rPr>
        <w:t xml:space="preserve">Ayuntamiento de </w:t>
      </w:r>
      <w:r w:rsidR="00DE647C" w:rsidRPr="00624703">
        <w:rPr>
          <w:rFonts w:ascii="Palatino Linotype" w:hAnsi="Palatino Linotype" w:cs="Arial"/>
          <w:b/>
        </w:rPr>
        <w:t>Polotitlán</w:t>
      </w:r>
      <w:r w:rsidR="00CC0EC5" w:rsidRPr="00624703">
        <w:rPr>
          <w:rFonts w:ascii="Palatino Linotype" w:hAnsi="Palatino Linotype" w:cs="Arial"/>
        </w:rPr>
        <w:t>, procedimiento al que</w:t>
      </w:r>
      <w:r w:rsidR="00F95E27" w:rsidRPr="00624703">
        <w:rPr>
          <w:rFonts w:ascii="Palatino Linotype" w:hAnsi="Palatino Linotype" w:cs="Arial"/>
        </w:rPr>
        <w:t xml:space="preserve"> se le asignó el</w:t>
      </w:r>
      <w:r w:rsidR="00CC0EC5" w:rsidRPr="00624703">
        <w:rPr>
          <w:rFonts w:ascii="Palatino Linotype" w:hAnsi="Palatino Linotype" w:cs="Arial"/>
        </w:rPr>
        <w:t xml:space="preserve"> número de expediente </w:t>
      </w:r>
      <w:r w:rsidR="00366D22" w:rsidRPr="00624703">
        <w:rPr>
          <w:rFonts w:ascii="Palatino Linotype" w:eastAsia="Times New Roman" w:hAnsi="Palatino Linotype" w:cs="Arial"/>
          <w:bCs/>
          <w:lang w:eastAsia="es-ES"/>
        </w:rPr>
        <w:t xml:space="preserve">señalado al rubro. </w:t>
      </w:r>
    </w:p>
    <w:p w:rsidR="003331EE" w:rsidRPr="00624703" w:rsidRDefault="003331EE"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color w:val="000000" w:themeColor="text1"/>
        </w:rPr>
      </w:pPr>
    </w:p>
    <w:p w:rsidR="00CC0EC5" w:rsidRPr="00624703" w:rsidRDefault="00CB061F"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color w:val="000000" w:themeColor="text1"/>
        </w:rPr>
      </w:pPr>
      <w:r w:rsidRPr="00624703">
        <w:rPr>
          <w:rFonts w:ascii="Palatino Linotype" w:hAnsi="Palatino Linotype" w:cs="Arial"/>
        </w:rPr>
        <w:t>La resolución determina que resultan fundada</w:t>
      </w:r>
      <w:r w:rsidR="00F95E27" w:rsidRPr="00624703">
        <w:rPr>
          <w:rFonts w:ascii="Palatino Linotype" w:hAnsi="Palatino Linotype" w:cs="Arial"/>
        </w:rPr>
        <w:t>s</w:t>
      </w:r>
      <w:r w:rsidR="00CC0EC5" w:rsidRPr="00624703">
        <w:rPr>
          <w:rFonts w:ascii="Palatino Linotype" w:hAnsi="Palatino Linotype" w:cs="Arial"/>
        </w:rPr>
        <w:t xml:space="preserve"> </w:t>
      </w:r>
      <w:r w:rsidRPr="00624703">
        <w:rPr>
          <w:rFonts w:ascii="Palatino Linotype" w:hAnsi="Palatino Linotype" w:cs="Arial"/>
        </w:rPr>
        <w:t>las razones o motivos de inconformidad</w:t>
      </w:r>
      <w:r w:rsidR="00CC0EC5" w:rsidRPr="00624703">
        <w:rPr>
          <w:rFonts w:ascii="Palatino Linotype" w:hAnsi="Palatino Linotype" w:cs="Arial"/>
        </w:rPr>
        <w:t xml:space="preserve"> </w:t>
      </w:r>
      <w:r w:rsidRPr="00624703">
        <w:rPr>
          <w:rFonts w:ascii="Palatino Linotype" w:hAnsi="Palatino Linotype" w:cs="Arial"/>
        </w:rPr>
        <w:t>hechos valer por el recurrente</w:t>
      </w:r>
      <w:r w:rsidR="00CC0EC5" w:rsidRPr="00624703">
        <w:rPr>
          <w:rFonts w:ascii="Palatino Linotype" w:hAnsi="Palatino Linotype" w:cs="Arial"/>
        </w:rPr>
        <w:t>, en términos de</w:t>
      </w:r>
      <w:r w:rsidR="001C42A5" w:rsidRPr="00624703">
        <w:rPr>
          <w:rFonts w:ascii="Palatino Linotype" w:hAnsi="Palatino Linotype" w:cs="Arial"/>
        </w:rPr>
        <w:t>l</w:t>
      </w:r>
      <w:r w:rsidR="00CC0EC5" w:rsidRPr="00624703">
        <w:rPr>
          <w:rFonts w:ascii="Palatino Linotype" w:hAnsi="Palatino Linotype" w:cs="Arial"/>
        </w:rPr>
        <w:t xml:space="preserve"> Considerando</w:t>
      </w:r>
      <w:r w:rsidR="001C42A5" w:rsidRPr="00624703">
        <w:rPr>
          <w:rFonts w:ascii="Palatino Linotype" w:hAnsi="Palatino Linotype" w:cs="Arial"/>
        </w:rPr>
        <w:t xml:space="preserve"> </w:t>
      </w:r>
      <w:r w:rsidR="00B544F7" w:rsidRPr="00624703">
        <w:rPr>
          <w:rFonts w:ascii="Palatino Linotype" w:hAnsi="Palatino Linotype" w:cs="Arial"/>
          <w:b/>
        </w:rPr>
        <w:t>QUINTO</w:t>
      </w:r>
      <w:r w:rsidR="00CC0EC5" w:rsidRPr="00624703">
        <w:rPr>
          <w:rFonts w:ascii="Palatino Linotype" w:hAnsi="Palatino Linotype" w:cs="Arial"/>
        </w:rPr>
        <w:t xml:space="preserve"> de la resolución, por lo que la ponencia </w:t>
      </w:r>
      <w:r w:rsidR="00D71039" w:rsidRPr="00624703">
        <w:rPr>
          <w:rFonts w:ascii="Palatino Linotype" w:hAnsi="Palatino Linotype" w:cs="Arial"/>
        </w:rPr>
        <w:t>Resolutora</w:t>
      </w:r>
      <w:r w:rsidR="00CC0EC5" w:rsidRPr="00624703">
        <w:rPr>
          <w:rFonts w:ascii="Palatino Linotype" w:hAnsi="Palatino Linotype" w:cs="Arial"/>
        </w:rPr>
        <w:t xml:space="preserve"> consideró</w:t>
      </w:r>
      <w:r w:rsidR="00B32143" w:rsidRPr="00624703">
        <w:rPr>
          <w:rFonts w:ascii="Palatino Linotype" w:hAnsi="Palatino Linotype" w:cs="Arial"/>
        </w:rPr>
        <w:t xml:space="preserve"> </w:t>
      </w:r>
      <w:r w:rsidRPr="00624703">
        <w:rPr>
          <w:rFonts w:ascii="Palatino Linotype" w:hAnsi="Palatino Linotype" w:cs="Arial"/>
        </w:rPr>
        <w:t>ordenar</w:t>
      </w:r>
      <w:r w:rsidR="00B32143" w:rsidRPr="00624703">
        <w:rPr>
          <w:rFonts w:ascii="Palatino Linotype" w:hAnsi="Palatino Linotype" w:cs="Arial"/>
        </w:rPr>
        <w:t xml:space="preserve"> </w:t>
      </w:r>
      <w:r w:rsidR="00D71039" w:rsidRPr="00624703">
        <w:rPr>
          <w:rFonts w:ascii="Palatino Linotype" w:hAnsi="Palatino Linotype" w:cs="Arial"/>
        </w:rPr>
        <w:t>el soporte de documental en donde</w:t>
      </w:r>
      <w:r w:rsidR="00185218" w:rsidRPr="00624703">
        <w:rPr>
          <w:rFonts w:ascii="Palatino Linotype" w:hAnsi="Palatino Linotype" w:cs="Arial"/>
        </w:rPr>
        <w:t xml:space="preserve"> pudiera existir la información que requiere conocer el particular,  </w:t>
      </w:r>
      <w:r w:rsidR="00FF61CC" w:rsidRPr="00624703">
        <w:rPr>
          <w:rFonts w:ascii="Palatino Linotype" w:hAnsi="Palatino Linotype" w:cs="Arial"/>
        </w:rPr>
        <w:t xml:space="preserve">sin embargo, consideró que su entrega podría poner en riesgo a los integrantes de las corporaciones policiacas. </w:t>
      </w:r>
    </w:p>
    <w:p w:rsidR="00D71039" w:rsidRPr="00624703" w:rsidRDefault="00D71039" w:rsidP="00624703">
      <w:pPr>
        <w:pStyle w:val="Prrafodelista"/>
        <w:spacing w:line="360" w:lineRule="auto"/>
        <w:ind w:right="49"/>
        <w:rPr>
          <w:rFonts w:ascii="Palatino Linotype" w:hAnsi="Palatino Linotype" w:cs="Arial"/>
          <w:color w:val="000000" w:themeColor="text1"/>
        </w:rPr>
      </w:pPr>
    </w:p>
    <w:p w:rsidR="00CC0EC5" w:rsidRPr="00624703" w:rsidRDefault="00CC0EC5"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color w:val="000000" w:themeColor="text1"/>
        </w:rPr>
        <w:t xml:space="preserve">Por </w:t>
      </w:r>
      <w:r w:rsidR="007B70C2" w:rsidRPr="00624703">
        <w:rPr>
          <w:rFonts w:ascii="Palatino Linotype" w:hAnsi="Palatino Linotype" w:cs="Arial"/>
          <w:color w:val="000000" w:themeColor="text1"/>
        </w:rPr>
        <w:t xml:space="preserve">los motivos y las razones de hecho y de derecho que se señalan a continuación y en términos de lo señalado por </w:t>
      </w:r>
      <w:r w:rsidR="00E12C1D" w:rsidRPr="00624703">
        <w:rPr>
          <w:rFonts w:ascii="Palatino Linotype" w:hAnsi="Palatino Linotype" w:cs="Arial"/>
          <w:color w:val="000000" w:themeColor="text1"/>
        </w:rPr>
        <w:t>el</w:t>
      </w:r>
      <w:r w:rsidR="007B70C2" w:rsidRPr="00624703">
        <w:rPr>
          <w:rFonts w:ascii="Palatino Linotype" w:hAnsi="Palatino Linotype" w:cs="Arial"/>
          <w:color w:val="000000" w:themeColor="text1"/>
        </w:rPr>
        <w:t xml:space="preserve"> </w:t>
      </w:r>
      <w:r w:rsidR="00E12C1D" w:rsidRPr="00624703">
        <w:rPr>
          <w:rFonts w:ascii="Palatino Linotype" w:hAnsi="Palatino Linotype" w:cs="Arial"/>
          <w:color w:val="000000" w:themeColor="text1"/>
        </w:rPr>
        <w:t>artículo</w:t>
      </w:r>
      <w:r w:rsidR="007B70C2" w:rsidRPr="00624703">
        <w:rPr>
          <w:rFonts w:ascii="Palatino Linotype" w:hAnsi="Palatino Linotype" w:cs="Arial"/>
          <w:color w:val="000000" w:themeColor="text1"/>
        </w:rPr>
        <w:t xml:space="preserve"> </w:t>
      </w:r>
      <w:r w:rsidR="00E12C1D" w:rsidRPr="00624703">
        <w:rPr>
          <w:rFonts w:ascii="Palatino Linotype" w:hAnsi="Palatino Linotype" w:cs="Arial"/>
          <w:color w:val="000000" w:themeColor="text1"/>
        </w:rPr>
        <w:t>14</w:t>
      </w:r>
      <w:r w:rsidR="007B70C2" w:rsidRPr="00624703">
        <w:rPr>
          <w:rFonts w:ascii="Palatino Linotype" w:hAnsi="Palatino Linotype" w:cs="Arial"/>
          <w:color w:val="000000" w:themeColor="text1"/>
        </w:rPr>
        <w:t xml:space="preserve"> fracción </w:t>
      </w:r>
      <w:r w:rsidR="00E12C1D" w:rsidRPr="00624703">
        <w:rPr>
          <w:rFonts w:ascii="Palatino Linotype" w:hAnsi="Palatino Linotype" w:cs="Arial"/>
          <w:color w:val="000000" w:themeColor="text1"/>
        </w:rPr>
        <w:t>XI</w:t>
      </w:r>
      <w:r w:rsidR="007B70C2" w:rsidRPr="00624703">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624703">
        <w:rPr>
          <w:rFonts w:ascii="Palatino Linotype" w:hAnsi="Palatino Linotype" w:cs="Arial"/>
          <w:color w:val="000000" w:themeColor="text1"/>
        </w:rPr>
        <w:t>,</w:t>
      </w:r>
      <w:r w:rsidR="007B70C2" w:rsidRPr="00624703">
        <w:rPr>
          <w:rFonts w:ascii="Palatino Linotype" w:hAnsi="Palatino Linotype" w:cs="Arial"/>
          <w:color w:val="000000" w:themeColor="text1"/>
        </w:rPr>
        <w:t xml:space="preserve"> fo</w:t>
      </w:r>
      <w:r w:rsidR="00374684" w:rsidRPr="00624703">
        <w:rPr>
          <w:rFonts w:ascii="Palatino Linotype" w:hAnsi="Palatino Linotype" w:cs="Arial"/>
          <w:color w:val="000000" w:themeColor="text1"/>
        </w:rPr>
        <w:t>rmulo el presente voto particular</w:t>
      </w:r>
      <w:r w:rsidR="007B70C2" w:rsidRPr="00624703">
        <w:rPr>
          <w:rFonts w:ascii="Palatino Linotype" w:hAnsi="Palatino Linotype" w:cs="Arial"/>
          <w:color w:val="000000" w:themeColor="text1"/>
        </w:rPr>
        <w:t xml:space="preserve">. </w:t>
      </w:r>
    </w:p>
    <w:p w:rsidR="00F511B5" w:rsidRPr="00624703" w:rsidRDefault="00F511B5"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624703" w:rsidRDefault="00A410B3" w:rsidP="00624703">
      <w:pPr>
        <w:pStyle w:val="Ttulo1"/>
        <w:ind w:right="49"/>
      </w:pPr>
      <w:bookmarkStart w:id="3" w:name="_Toc473810012"/>
      <w:bookmarkStart w:id="4" w:name="_Toc4673748"/>
      <w:bookmarkStart w:id="5" w:name="_Toc472594392"/>
      <w:bookmarkStart w:id="6" w:name="_Toc485911590"/>
      <w:r w:rsidRPr="00624703">
        <w:t>De los requerimientos planteados en el recurso de revisión.</w:t>
      </w:r>
      <w:bookmarkEnd w:id="3"/>
      <w:bookmarkEnd w:id="4"/>
    </w:p>
    <w:p w:rsidR="00A410B3" w:rsidRPr="00624703" w:rsidRDefault="00A410B3" w:rsidP="00624703">
      <w:pPr>
        <w:pStyle w:val="Prrafodelista"/>
        <w:spacing w:line="360" w:lineRule="auto"/>
        <w:ind w:left="1080" w:right="49"/>
        <w:jc w:val="both"/>
        <w:rPr>
          <w:rFonts w:ascii="Palatino Linotype" w:hAnsi="Palatino Linotype" w:cs="Arial"/>
          <w:b/>
        </w:rPr>
      </w:pPr>
    </w:p>
    <w:p w:rsidR="00AE0067" w:rsidRPr="00624703" w:rsidRDefault="00CC0EC5"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eastAsia="Times New Roman" w:hAnsi="Palatino Linotype"/>
          <w:i/>
          <w:lang w:val="es-ES_tradnl" w:eastAsia="es-ES"/>
        </w:rPr>
      </w:pPr>
      <w:r w:rsidRPr="00624703">
        <w:rPr>
          <w:rFonts w:ascii="Palatino Linotype" w:hAnsi="Palatino Linotype" w:cs="Arial"/>
        </w:rPr>
        <w:t xml:space="preserve">El particular requirió del </w:t>
      </w:r>
      <w:r w:rsidR="008018B9" w:rsidRPr="00624703">
        <w:rPr>
          <w:rFonts w:ascii="Palatino Linotype" w:hAnsi="Palatino Linotype"/>
          <w:b/>
        </w:rPr>
        <w:t xml:space="preserve">Ayuntamiento de </w:t>
      </w:r>
      <w:r w:rsidR="00DE647C" w:rsidRPr="00624703">
        <w:rPr>
          <w:rFonts w:ascii="Palatino Linotype" w:hAnsi="Palatino Linotype"/>
          <w:b/>
        </w:rPr>
        <w:t>Polotitlán</w:t>
      </w:r>
      <w:r w:rsidR="008018B9" w:rsidRPr="00624703">
        <w:rPr>
          <w:rFonts w:ascii="Palatino Linotype" w:hAnsi="Palatino Linotype"/>
          <w:b/>
        </w:rPr>
        <w:t xml:space="preserve"> </w:t>
      </w:r>
      <w:r w:rsidRPr="00624703">
        <w:rPr>
          <w:rFonts w:ascii="Palatino Linotype" w:hAnsi="Palatino Linotype" w:cs="Arial"/>
        </w:rPr>
        <w:t xml:space="preserve">lo siguiente: </w:t>
      </w:r>
      <w:r w:rsidRPr="00624703">
        <w:rPr>
          <w:rFonts w:ascii="Palatino Linotype" w:hAnsi="Palatino Linotype" w:cs="Arial"/>
          <w:b/>
        </w:rPr>
        <w:t xml:space="preserve"> </w:t>
      </w:r>
    </w:p>
    <w:p w:rsidR="00AE0067" w:rsidRPr="00624703" w:rsidRDefault="00AE0067"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eastAsia="Times New Roman" w:hAnsi="Palatino Linotype"/>
          <w:i/>
          <w:sz w:val="22"/>
          <w:lang w:val="es-ES_tradnl" w:eastAsia="es-ES"/>
        </w:rPr>
      </w:pPr>
    </w:p>
    <w:p w:rsidR="00AE0067" w:rsidRPr="00624703" w:rsidRDefault="00DE647C" w:rsidP="00624703">
      <w:pPr>
        <w:spacing w:line="360" w:lineRule="auto"/>
        <w:ind w:left="567" w:right="616"/>
        <w:jc w:val="both"/>
        <w:rPr>
          <w:rFonts w:ascii="Palatino Linotype" w:hAnsi="Palatino Linotype"/>
          <w:sz w:val="22"/>
        </w:rPr>
      </w:pPr>
      <w:r w:rsidRPr="00624703">
        <w:rPr>
          <w:rFonts w:ascii="Palatino Linotype" w:hAnsi="Palatino Linotype" w:cs="Arial"/>
          <w:i/>
          <w:sz w:val="22"/>
        </w:rPr>
        <w:t xml:space="preserve">“1.- Tabulador de sueldos de todos los servidores públicos del Ayuntamiento y el Sistema DIF de la administración 2015-2018. 2.- Tabulador de sueldos de todos los servidores públicos del Ayuntamiento y el Sistema DIF de la administración 2019-2021. 3.-Monto desglosado de los aguinaldos aprobados para los integrantes de cabildo y servidores públicos de la administración 2015-2018 (Especificar en el desglose cuanto se le otorgó a cada integrantes de cabildo, servidores públicos integrantes de la </w:t>
      </w:r>
      <w:r w:rsidRPr="00624703">
        <w:rPr>
          <w:rFonts w:ascii="Palatino Linotype" w:hAnsi="Palatino Linotype" w:cs="Arial"/>
          <w:i/>
          <w:sz w:val="22"/>
        </w:rPr>
        <w:lastRenderedPageBreak/>
        <w:t>administración; personal administrativo, operativo, seguridad pública y protección civil. (Sic)</w:t>
      </w:r>
    </w:p>
    <w:p w:rsidR="00017A61" w:rsidRPr="00624703" w:rsidRDefault="00017A61"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49"/>
        <w:jc w:val="both"/>
        <w:rPr>
          <w:rFonts w:ascii="Palatino Linotype" w:hAnsi="Palatino Linotype" w:cs="Arial"/>
        </w:rPr>
      </w:pPr>
    </w:p>
    <w:p w:rsidR="00CC0EC5" w:rsidRPr="00624703" w:rsidRDefault="00CC0EC5"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eastAsia="Times New Roman" w:hAnsi="Palatino Linotype"/>
          <w:i/>
          <w:lang w:val="es-ES_tradnl" w:eastAsia="es-ES"/>
        </w:rPr>
      </w:pPr>
      <w:r w:rsidRPr="00624703">
        <w:rPr>
          <w:rFonts w:ascii="Palatino Linotype" w:hAnsi="Palatino Linotype" w:cs="Arial"/>
        </w:rPr>
        <w:t xml:space="preserve">El </w:t>
      </w:r>
      <w:r w:rsidR="000C7056" w:rsidRPr="00624703">
        <w:rPr>
          <w:rFonts w:ascii="Palatino Linotype" w:hAnsi="Palatino Linotype" w:cs="Arial"/>
          <w:b/>
        </w:rPr>
        <w:t>Sujeto Obligado</w:t>
      </w:r>
      <w:r w:rsidR="00AE0067" w:rsidRPr="00624703">
        <w:rPr>
          <w:rFonts w:ascii="Palatino Linotype" w:hAnsi="Palatino Linotype" w:cs="Arial"/>
        </w:rPr>
        <w:t xml:space="preserve"> </w:t>
      </w:r>
      <w:r w:rsidR="00DE647C" w:rsidRPr="00624703">
        <w:rPr>
          <w:rFonts w:ascii="Palatino Linotype" w:hAnsi="Palatino Linotype" w:cs="Arial"/>
        </w:rPr>
        <w:t xml:space="preserve">adjuntó a su respuesta los tabuladores de sueldos del primero de enero al treinta y uno de diciembre de los años dos mil dieciocho y dos mil diecinueve del Sistema Municipal DIF de Polotitlán y </w:t>
      </w:r>
      <w:r w:rsidR="00AE0067" w:rsidRPr="00624703">
        <w:rPr>
          <w:rFonts w:ascii="Palatino Linotype" w:hAnsi="Palatino Linotype" w:cs="Arial"/>
        </w:rPr>
        <w:t xml:space="preserve"> </w:t>
      </w:r>
      <w:r w:rsidR="00DE647C" w:rsidRPr="00624703">
        <w:rPr>
          <w:rFonts w:ascii="Palatino Linotype" w:hAnsi="Palatino Linotype" w:cs="Arial"/>
        </w:rPr>
        <w:t xml:space="preserve">el tabulador de sueldos, del 1 de enero al 31 de diciembre de 2019, del Municipio de Polotitlán. </w:t>
      </w:r>
    </w:p>
    <w:p w:rsidR="00A43D47" w:rsidRPr="00624703" w:rsidRDefault="00A43D47"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eastAsia="Times New Roman" w:hAnsi="Palatino Linotype"/>
          <w:i/>
          <w:lang w:val="es-ES_tradnl" w:eastAsia="es-ES"/>
        </w:rPr>
      </w:pPr>
    </w:p>
    <w:p w:rsidR="00D97CBF" w:rsidRPr="00624703" w:rsidRDefault="00DE647C"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rPr>
        <w:t xml:space="preserve">Sin embargo, el particular interpuso su recurso de inconformidad en razón a que no se le entregó el tabulador de sueldos de todos los servidores públicos del Ayuntamiento de la administración 2015-2018, ni el monto desglosado de los aguinaldos aprobados para los integrantes de cabildo y servidores públicos de la administración 2015-2018. </w:t>
      </w:r>
    </w:p>
    <w:p w:rsidR="00022D14" w:rsidRPr="00624703" w:rsidRDefault="00022D14"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D97CBF" w:rsidRPr="00624703" w:rsidRDefault="00D97CBF" w:rsidP="00624703">
      <w:pPr>
        <w:pStyle w:val="Ttulo1"/>
        <w:ind w:right="49"/>
      </w:pPr>
      <w:bookmarkStart w:id="7" w:name="_Toc4673749"/>
      <w:r w:rsidRPr="00624703">
        <w:t>D</w:t>
      </w:r>
      <w:r w:rsidR="00C819C8" w:rsidRPr="00624703">
        <w:t>el estudio de la ponencia.</w:t>
      </w:r>
      <w:bookmarkEnd w:id="7"/>
      <w:r w:rsidR="00C819C8" w:rsidRPr="00624703">
        <w:t xml:space="preserve"> </w:t>
      </w:r>
    </w:p>
    <w:p w:rsidR="00CC0EC5" w:rsidRPr="00624703" w:rsidRDefault="00CC0EC5"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bookmarkEnd w:id="5"/>
    <w:bookmarkEnd w:id="6"/>
    <w:p w:rsidR="00D97CBF" w:rsidRPr="00624703" w:rsidRDefault="00D97CBF"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rPr>
        <w:t>Es necesario señalar, que de lo pe</w:t>
      </w:r>
      <w:r w:rsidR="00C819C8" w:rsidRPr="00624703">
        <w:rPr>
          <w:rFonts w:ascii="Palatino Linotype" w:hAnsi="Palatino Linotype" w:cs="Arial"/>
        </w:rPr>
        <w:t xml:space="preserve">ticionado por el particular, la ponencia determinó que derivado de las atribuciones, facultades y competencias </w:t>
      </w:r>
      <w:r w:rsidR="001E6151" w:rsidRPr="00624703">
        <w:rPr>
          <w:rFonts w:ascii="Palatino Linotype" w:hAnsi="Palatino Linotype" w:cs="Arial"/>
        </w:rPr>
        <w:t>d</w:t>
      </w:r>
      <w:r w:rsidR="00C819C8" w:rsidRPr="00624703">
        <w:rPr>
          <w:rFonts w:ascii="Palatino Linotype" w:hAnsi="Palatino Linotype" w:cs="Arial"/>
        </w:rPr>
        <w:t xml:space="preserve">el </w:t>
      </w:r>
      <w:r w:rsidR="000C7056" w:rsidRPr="00624703">
        <w:rPr>
          <w:rFonts w:ascii="Palatino Linotype" w:hAnsi="Palatino Linotype" w:cs="Arial"/>
          <w:b/>
        </w:rPr>
        <w:t>Sujeto Obligado</w:t>
      </w:r>
      <w:r w:rsidR="00C819C8" w:rsidRPr="00624703">
        <w:rPr>
          <w:rFonts w:ascii="Palatino Linotype" w:hAnsi="Palatino Linotype" w:cs="Arial"/>
          <w:b/>
        </w:rPr>
        <w:t xml:space="preserve">, </w:t>
      </w:r>
      <w:r w:rsidR="001E6151" w:rsidRPr="00624703">
        <w:rPr>
          <w:rFonts w:ascii="Palatino Linotype" w:hAnsi="Palatino Linotype" w:cs="Arial"/>
        </w:rPr>
        <w:t>era d</w:t>
      </w:r>
      <w:r w:rsidR="00C819C8" w:rsidRPr="00624703">
        <w:rPr>
          <w:rFonts w:ascii="Palatino Linotype" w:hAnsi="Palatino Linotype" w:cs="Arial"/>
        </w:rPr>
        <w:t>able ordenarle que proporcionara la información que satisficiera la pretensión d</w:t>
      </w:r>
      <w:r w:rsidR="001E6151" w:rsidRPr="00624703">
        <w:rPr>
          <w:rFonts w:ascii="Palatino Linotype" w:hAnsi="Palatino Linotype" w:cs="Arial"/>
        </w:rPr>
        <w:t>el particular, por lo que ordenó</w:t>
      </w:r>
      <w:r w:rsidR="00C819C8" w:rsidRPr="00624703">
        <w:rPr>
          <w:rFonts w:ascii="Palatino Linotype" w:hAnsi="Palatino Linotype" w:cs="Arial"/>
        </w:rPr>
        <w:t xml:space="preserve"> la </w:t>
      </w:r>
      <w:r w:rsidR="000C7056" w:rsidRPr="00624703">
        <w:rPr>
          <w:rFonts w:ascii="Palatino Linotype" w:hAnsi="Palatino Linotype" w:cs="Arial"/>
        </w:rPr>
        <w:t>documentación señalada por el particular</w:t>
      </w:r>
      <w:r w:rsidR="001E6151" w:rsidRPr="00624703">
        <w:rPr>
          <w:rFonts w:ascii="Palatino Linotype" w:hAnsi="Palatino Linotype" w:cs="Arial"/>
        </w:rPr>
        <w:t>.</w:t>
      </w:r>
    </w:p>
    <w:p w:rsidR="00C819C8" w:rsidRPr="00624703" w:rsidRDefault="00C819C8"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0328AE" w:rsidRPr="00624703" w:rsidRDefault="000C7056" w:rsidP="00624703">
      <w:pPr>
        <w:pStyle w:val="Sinespaciado"/>
        <w:numPr>
          <w:ilvl w:val="0"/>
          <w:numId w:val="1"/>
        </w:numPr>
        <w:spacing w:line="360" w:lineRule="auto"/>
        <w:ind w:left="0" w:right="49" w:firstLine="0"/>
        <w:jc w:val="both"/>
        <w:rPr>
          <w:rFonts w:ascii="Palatino Linotype" w:eastAsia="Times New Roman" w:hAnsi="Palatino Linotype" w:cs="Arial"/>
          <w:sz w:val="24"/>
          <w:szCs w:val="24"/>
          <w:lang w:eastAsia="es-ES"/>
        </w:rPr>
      </w:pPr>
      <w:r w:rsidRPr="00624703">
        <w:rPr>
          <w:rFonts w:ascii="Palatino Linotype" w:hAnsi="Palatino Linotype" w:cs="Arial"/>
          <w:sz w:val="24"/>
          <w:szCs w:val="24"/>
        </w:rPr>
        <w:lastRenderedPageBreak/>
        <w:t>No obstante</w:t>
      </w:r>
      <w:r w:rsidR="00C819C8" w:rsidRPr="00624703">
        <w:rPr>
          <w:rFonts w:ascii="Palatino Linotype" w:hAnsi="Palatino Linotype" w:cs="Arial"/>
          <w:sz w:val="24"/>
          <w:szCs w:val="24"/>
        </w:rPr>
        <w:t xml:space="preserve">, </w:t>
      </w:r>
      <w:r w:rsidRPr="00624703">
        <w:rPr>
          <w:rFonts w:ascii="Palatino Linotype" w:hAnsi="Palatino Linotype" w:cs="Arial"/>
          <w:sz w:val="24"/>
          <w:szCs w:val="24"/>
        </w:rPr>
        <w:t>en relación a la</w:t>
      </w:r>
      <w:r w:rsidR="00AE0067" w:rsidRPr="00624703">
        <w:rPr>
          <w:rFonts w:ascii="Palatino Linotype" w:hAnsi="Palatino Linotype" w:cs="Arial"/>
          <w:sz w:val="24"/>
          <w:szCs w:val="24"/>
        </w:rPr>
        <w:t xml:space="preserve"> información que pidió el particular que le fuera proporcionada, como lo es </w:t>
      </w:r>
      <w:r w:rsidR="00DE647C" w:rsidRPr="00624703">
        <w:rPr>
          <w:rFonts w:ascii="Palatino Linotype" w:hAnsi="Palatino Linotype" w:cs="Arial"/>
          <w:sz w:val="24"/>
          <w:szCs w:val="24"/>
        </w:rPr>
        <w:t>el tabulador de sueldos de todos los servidores p</w:t>
      </w:r>
      <w:r w:rsidR="00EB46D9" w:rsidRPr="00624703">
        <w:rPr>
          <w:rFonts w:ascii="Palatino Linotype" w:hAnsi="Palatino Linotype" w:cs="Arial"/>
          <w:sz w:val="24"/>
          <w:szCs w:val="24"/>
        </w:rPr>
        <w:t xml:space="preserve">úblicos entre ellos los elementos de seguridad pública, </w:t>
      </w:r>
      <w:r w:rsidRPr="00624703">
        <w:rPr>
          <w:rFonts w:ascii="Palatino Linotype" w:hAnsi="Palatino Linotype" w:cs="Arial"/>
          <w:sz w:val="24"/>
          <w:szCs w:val="24"/>
        </w:rPr>
        <w:t xml:space="preserve">que </w:t>
      </w:r>
      <w:r w:rsidR="000328AE" w:rsidRPr="00624703">
        <w:rPr>
          <w:rFonts w:ascii="Palatino Linotype" w:hAnsi="Palatino Linotype" w:cs="Arial"/>
          <w:sz w:val="24"/>
          <w:szCs w:val="24"/>
        </w:rPr>
        <w:t>derivado de las funciones encomendadas en términos del artículo 21 párrafo noveno de la Constitución Política de los Estados Unidos Mexicanos, de las cuales comprende la prevención de los delitos, investigación y persecución para hacerla efectiva, los datos de los servidores públicos que integran la Dirección de Seguridad, solo por cuanto hace al nombre de</w:t>
      </w:r>
      <w:r w:rsidR="008037FF" w:rsidRPr="00624703">
        <w:rPr>
          <w:rFonts w:ascii="Palatino Linotype" w:hAnsi="Palatino Linotype" w:cs="Arial"/>
          <w:sz w:val="24"/>
          <w:szCs w:val="24"/>
        </w:rPr>
        <w:t>be</w:t>
      </w:r>
      <w:r w:rsidR="000328AE" w:rsidRPr="00624703">
        <w:rPr>
          <w:rFonts w:ascii="Palatino Linotype" w:hAnsi="Palatino Linotype" w:cs="Arial"/>
          <w:sz w:val="24"/>
          <w:szCs w:val="24"/>
        </w:rPr>
        <w:t xml:space="preserve"> ser </w:t>
      </w:r>
      <w:r w:rsidR="008037FF" w:rsidRPr="00624703">
        <w:rPr>
          <w:rFonts w:ascii="Palatino Linotype" w:hAnsi="Palatino Linotype" w:cs="Arial"/>
          <w:sz w:val="24"/>
          <w:szCs w:val="24"/>
        </w:rPr>
        <w:t>protegido</w:t>
      </w:r>
      <w:r w:rsidR="000328AE" w:rsidRPr="00624703">
        <w:rPr>
          <w:rFonts w:ascii="Palatino Linotype" w:hAnsi="Palatino Linotype" w:cs="Arial"/>
          <w:sz w:val="24"/>
          <w:szCs w:val="24"/>
        </w:rPr>
        <w:t xml:space="preserve">, </w:t>
      </w:r>
      <w:r w:rsidR="000328AE" w:rsidRPr="00624703">
        <w:rPr>
          <w:rFonts w:ascii="Palatino Linotype" w:eastAsia="Times New Roman" w:hAnsi="Palatino Linotype" w:cs="Arial"/>
          <w:sz w:val="24"/>
          <w:szCs w:val="24"/>
          <w:lang w:eastAsia="es-ES"/>
        </w:rPr>
        <w:t xml:space="preserve">dejando intocable el rubro de percepciones que por su naturaleza conciernen a la ciudadanía por </w:t>
      </w:r>
      <w:r w:rsidR="000328AE" w:rsidRPr="00624703">
        <w:rPr>
          <w:rFonts w:ascii="Palatino Linotype" w:eastAsia="Times New Roman" w:hAnsi="Palatino Linotype" w:cs="Arial"/>
          <w:sz w:val="24"/>
          <w:szCs w:val="24"/>
          <w:lang w:val="es-ES" w:eastAsia="es-ES"/>
        </w:rPr>
        <w:t>referirse a recursos de carácter público; circunstancia que en nada afecta al derecho tutelado por este Órgano Garante si 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rsidR="000328AE" w:rsidRPr="00624703" w:rsidRDefault="000328AE" w:rsidP="00624703">
      <w:pPr>
        <w:pStyle w:val="Prrafodelista"/>
        <w:spacing w:line="360" w:lineRule="auto"/>
        <w:ind w:right="49"/>
        <w:rPr>
          <w:rFonts w:ascii="Palatino Linotype" w:hAnsi="Palatino Linotype" w:cs="Arial"/>
        </w:rPr>
      </w:pPr>
    </w:p>
    <w:p w:rsidR="00C237B4" w:rsidRPr="00624703" w:rsidRDefault="008037FF"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rPr>
        <w:t xml:space="preserve">En ese mismo sentido se refiere que </w:t>
      </w:r>
      <w:r w:rsidR="00C237B4" w:rsidRPr="00624703">
        <w:rPr>
          <w:rFonts w:ascii="Palatino Linotype" w:hAnsi="Palatino Linotype" w:cs="Arial"/>
        </w:rPr>
        <w:t>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rsidR="00315C7A" w:rsidRPr="00624703" w:rsidRDefault="00315C7A" w:rsidP="00624703">
      <w:pPr>
        <w:pStyle w:val="Prrafodelista"/>
        <w:spacing w:line="360" w:lineRule="auto"/>
        <w:ind w:right="49"/>
        <w:rPr>
          <w:rFonts w:ascii="Palatino Linotype" w:hAnsi="Palatino Linotype" w:cs="Arial"/>
        </w:rPr>
      </w:pPr>
    </w:p>
    <w:p w:rsidR="00C237B4" w:rsidRPr="00624703" w:rsidRDefault="00315C7A"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rPr>
        <w:lastRenderedPageBreak/>
        <w:t xml:space="preserve">Asimismo, </w:t>
      </w:r>
      <w:r w:rsidR="008037FF" w:rsidRPr="00624703">
        <w:rPr>
          <w:rFonts w:ascii="Palatino Linotype" w:hAnsi="Palatino Linotype" w:cs="Arial"/>
        </w:rPr>
        <w:t xml:space="preserve">se </w:t>
      </w:r>
      <w:r w:rsidRPr="00624703">
        <w:rPr>
          <w:rFonts w:ascii="Palatino Linotype" w:hAnsi="Palatino Linotype" w:cs="Arial"/>
        </w:rPr>
        <w:t>determinó procedente entregar el Acuerdo del Comité de Transparencia por el que se clasifique la información ordenada, mismos que deberá ser de manera fundada y motivada en el que se precise la clasificación y/o disociación de los datos señalados</w:t>
      </w:r>
      <w:r w:rsidR="00216C90" w:rsidRPr="00624703">
        <w:rPr>
          <w:rFonts w:ascii="Palatino Linotype" w:hAnsi="Palatino Linotype" w:cs="Arial"/>
        </w:rPr>
        <w:t xml:space="preserve"> en términos de los artículos 128 y 129 de la Ley de </w:t>
      </w:r>
      <w:r w:rsidR="00216C90" w:rsidRPr="00624703">
        <w:rPr>
          <w:rFonts w:ascii="Palatino Linotype" w:hAnsi="Palatino Linotype"/>
        </w:rPr>
        <w:t>Transparencia y Acceso a la Información Pública del Estado de México y Municipios, como en los</w:t>
      </w:r>
      <w:r w:rsidR="00216C90" w:rsidRPr="00624703">
        <w:rPr>
          <w:rFonts w:ascii="Palatino Linotype" w:hAnsi="Palatino Linotype" w:cs="Arial"/>
          <w:color w:val="000000"/>
        </w:rPr>
        <w:t xml:space="preserve"> </w:t>
      </w:r>
      <w:r w:rsidR="00216C90" w:rsidRPr="00624703">
        <w:rPr>
          <w:rFonts w:ascii="Palatino Linotype" w:hAnsi="Palatino Linotype" w:cs="Arial"/>
          <w:color w:val="222222"/>
        </w:rPr>
        <w:t>Lineamientos Generales en Materia de Clasificación y Desclasificación de la Información. P</w:t>
      </w:r>
      <w:r w:rsidR="00216C90" w:rsidRPr="00624703">
        <w:rPr>
          <w:rFonts w:ascii="Palatino Linotype" w:eastAsia="Times New Roman" w:hAnsi="Palatino Linotype"/>
          <w:bdr w:val="none" w:sz="0" w:space="0" w:color="auto"/>
          <w:lang w:val="es-ES" w:eastAsia="es-ES"/>
        </w:rPr>
        <w:t>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rsidR="00C237B4" w:rsidRPr="00624703" w:rsidRDefault="00C237B4" w:rsidP="00624703">
      <w:pPr>
        <w:pStyle w:val="Prrafodelista"/>
        <w:spacing w:line="360" w:lineRule="auto"/>
        <w:ind w:right="49"/>
        <w:rPr>
          <w:rFonts w:ascii="Palatino Linotype" w:hAnsi="Palatino Linotype" w:cs="Arial"/>
        </w:rPr>
      </w:pPr>
    </w:p>
    <w:p w:rsidR="00442007" w:rsidRPr="00624703" w:rsidRDefault="00442007"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rPr>
        <w:t>E</w:t>
      </w:r>
      <w:r w:rsidR="008037FF" w:rsidRPr="00624703">
        <w:rPr>
          <w:rFonts w:ascii="Palatino Linotype" w:hAnsi="Palatino Linotype" w:cs="Arial"/>
        </w:rPr>
        <w:t>s por ello que,</w:t>
      </w:r>
      <w:r w:rsidRPr="00624703">
        <w:rPr>
          <w:rFonts w:ascii="Palatino Linotype" w:hAnsi="Palatino Linotype" w:cs="Arial"/>
        </w:rPr>
        <w:t xml:space="preserve"> pese a qu</w:t>
      </w:r>
      <w:r w:rsidR="001D2190" w:rsidRPr="00624703">
        <w:rPr>
          <w:rFonts w:ascii="Palatino Linotype" w:hAnsi="Palatino Linotype" w:cs="Arial"/>
        </w:rPr>
        <w:t xml:space="preserve">e la información solicitada es </w:t>
      </w:r>
      <w:r w:rsidRPr="00624703">
        <w:rPr>
          <w:rFonts w:ascii="Palatino Linotype" w:hAnsi="Palatino Linotype" w:cs="Arial"/>
        </w:rPr>
        <w:t>de natural</w:t>
      </w:r>
      <w:r w:rsidR="008037FF" w:rsidRPr="00624703">
        <w:rPr>
          <w:rFonts w:ascii="Palatino Linotype" w:hAnsi="Palatino Linotype" w:cs="Arial"/>
        </w:rPr>
        <w:t>eza pública, debido al contexto de la protección de datos,</w:t>
      </w:r>
      <w:r w:rsidR="001D2190" w:rsidRPr="00624703">
        <w:rPr>
          <w:rFonts w:ascii="Palatino Linotype" w:hAnsi="Palatino Linotype" w:cs="Arial"/>
        </w:rPr>
        <w:t xml:space="preserve"> es</w:t>
      </w:r>
      <w:r w:rsidRPr="00624703">
        <w:rPr>
          <w:rFonts w:ascii="Palatino Linotype" w:hAnsi="Palatino Linotype" w:cs="Arial"/>
        </w:rPr>
        <w:t xml:space="preserve"> susceptible de clasificarse como reservada, por el plazo máximo establecido. En ese sentido, la ponencia resolutora, </w:t>
      </w:r>
      <w:r w:rsidR="00C1591A">
        <w:rPr>
          <w:rFonts w:ascii="Palatino Linotype" w:hAnsi="Palatino Linotype" w:cs="Arial"/>
        </w:rPr>
        <w:t xml:space="preserve">omitió pronunciarse en su resolución respecto de los servidores públicos que pertenezcan a la </w:t>
      </w:r>
      <w:r w:rsidR="00C1591A" w:rsidRPr="00C1591A">
        <w:rPr>
          <w:rFonts w:ascii="Palatino Linotype" w:hAnsi="Palatino Linotype" w:cs="Arial"/>
          <w:b/>
        </w:rPr>
        <w:t>Dirección de Seguridad</w:t>
      </w:r>
      <w:r w:rsidR="00C1591A">
        <w:rPr>
          <w:rFonts w:ascii="Palatino Linotype" w:hAnsi="Palatino Linotype" w:cs="Arial"/>
        </w:rPr>
        <w:t xml:space="preserve">, por lo que se señala lo siguiente: </w:t>
      </w:r>
      <w:r w:rsidRPr="00624703">
        <w:rPr>
          <w:rFonts w:ascii="Palatino Linotype" w:hAnsi="Palatino Linotype" w:cs="Arial"/>
        </w:rPr>
        <w:t xml:space="preserve"> </w:t>
      </w:r>
    </w:p>
    <w:p w:rsidR="00442007" w:rsidRPr="00624703" w:rsidRDefault="00442007" w:rsidP="00624703">
      <w:pPr>
        <w:spacing w:line="360" w:lineRule="auto"/>
        <w:ind w:right="49"/>
        <w:rPr>
          <w:rFonts w:ascii="Palatino Linotype" w:hAnsi="Palatino Linotype" w:cs="Arial"/>
        </w:rPr>
      </w:pPr>
    </w:p>
    <w:p w:rsidR="00442007" w:rsidRPr="00624703" w:rsidRDefault="00442007" w:rsidP="00624703">
      <w:pPr>
        <w:pStyle w:val="Ttulo1"/>
        <w:ind w:right="49"/>
      </w:pPr>
      <w:bookmarkStart w:id="8" w:name="_Toc4673750"/>
      <w:r w:rsidRPr="00624703">
        <w:t>Del personal de seguridad pública.</w:t>
      </w:r>
      <w:bookmarkEnd w:id="8"/>
      <w:r w:rsidRPr="00624703">
        <w:t xml:space="preserve"> </w:t>
      </w:r>
    </w:p>
    <w:p w:rsidR="00BE0306" w:rsidRPr="00624703" w:rsidRDefault="00BE0306" w:rsidP="00624703">
      <w:pPr>
        <w:pStyle w:val="Prrafodelista"/>
        <w:spacing w:line="360" w:lineRule="auto"/>
        <w:ind w:right="49"/>
        <w:rPr>
          <w:rFonts w:ascii="Palatino Linotype" w:hAnsi="Palatino Linotype" w:cs="Arial"/>
        </w:rPr>
      </w:pPr>
    </w:p>
    <w:p w:rsidR="00442007" w:rsidRPr="00624703" w:rsidRDefault="00442007"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rPr>
        <w:lastRenderedPageBreak/>
        <w:t>En principio es importante mencionar que el proporcionar los nombres de los policías de seguridad y al ser estos servidores públicos, la información peticionada es meramente de naturaleza pública y por ende está considerada como informaci</w:t>
      </w:r>
      <w:r w:rsidR="00EE0D26" w:rsidRPr="00624703">
        <w:rPr>
          <w:rFonts w:ascii="Palatino Linotype" w:hAnsi="Palatino Linotype" w:cs="Arial"/>
        </w:rPr>
        <w:t xml:space="preserve">ón susceptible de ser ordenada, </w:t>
      </w:r>
      <w:r w:rsidRPr="00624703">
        <w:rPr>
          <w:rFonts w:ascii="Palatino Linotype" w:hAnsi="Palatino Linotype" w:cs="Arial"/>
        </w:rPr>
        <w:t>ya que constituye una obligación de transparencia, tal y como lo establece la ley en la materia.</w:t>
      </w:r>
      <w:r w:rsidR="007B08CC" w:rsidRPr="00624703">
        <w:rPr>
          <w:rFonts w:ascii="Palatino Linotype" w:hAnsi="Palatino Linotype" w:cs="Arial"/>
        </w:rPr>
        <w:t xml:space="preserve"> </w:t>
      </w:r>
    </w:p>
    <w:p w:rsidR="00442007" w:rsidRPr="00624703" w:rsidRDefault="00442007"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EE0D26" w:rsidRPr="00624703" w:rsidRDefault="00442007" w:rsidP="00624703">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624703">
        <w:rPr>
          <w:rFonts w:ascii="Palatino Linotype" w:hAnsi="Palatino Linotype" w:cs="Arial"/>
        </w:rPr>
        <w:t>Ahora bien, la clasificación de información, es entendida</w:t>
      </w:r>
      <w:r w:rsidR="00EE0D26" w:rsidRPr="00624703">
        <w:rPr>
          <w:rFonts w:ascii="Palatino Linotype" w:hAnsi="Palatino Linotype" w:cs="Arial"/>
        </w:rPr>
        <w:t xml:space="preserve"> y definida </w:t>
      </w:r>
      <w:r w:rsidRPr="00624703">
        <w:rPr>
          <w:rFonts w:ascii="Palatino Linotype" w:hAnsi="Palatino Linotype" w:cs="Arial"/>
        </w:rPr>
        <w:t>como el acto excepcional de restricci</w:t>
      </w:r>
      <w:r w:rsidR="00EE0D26" w:rsidRPr="00624703">
        <w:rPr>
          <w:rFonts w:ascii="Palatino Linotype" w:hAnsi="Palatino Linotype" w:cs="Arial"/>
        </w:rPr>
        <w:t>ón de</w:t>
      </w:r>
      <w:r w:rsidRPr="00624703">
        <w:rPr>
          <w:rFonts w:ascii="Palatino Linotype" w:hAnsi="Palatino Linotype" w:cs="Arial"/>
        </w:rPr>
        <w:t xml:space="preserve"> derechos</w:t>
      </w:r>
      <w:r w:rsidR="00F26370" w:rsidRPr="00624703">
        <w:rPr>
          <w:rFonts w:ascii="Palatino Linotype" w:hAnsi="Palatino Linotype" w:cs="Arial"/>
        </w:rPr>
        <w:t xml:space="preserve">, por lo que no basta que la hipótesis prevista en la ley para la configuración de la misma, sea igual a la prueba de daño, si no que esta tiene que ser desarrollada y en el caso particular, valorar realmente el daño que se ocasionaría por la entrega de los nombres de estos servidores públicos. </w:t>
      </w:r>
    </w:p>
    <w:p w:rsidR="001D2190" w:rsidRPr="00624703" w:rsidRDefault="001D2190" w:rsidP="00624703">
      <w:pPr>
        <w:spacing w:line="360" w:lineRule="auto"/>
        <w:ind w:right="49"/>
        <w:rPr>
          <w:rFonts w:ascii="Palatino Linotype" w:hAnsi="Palatino Linotype" w:cs="Arial"/>
        </w:rPr>
      </w:pPr>
    </w:p>
    <w:p w:rsidR="00F36639" w:rsidRPr="00624703" w:rsidRDefault="009A16E4" w:rsidP="00624703">
      <w:pPr>
        <w:pStyle w:val="Ttulo1"/>
        <w:ind w:right="49"/>
      </w:pPr>
      <w:bookmarkStart w:id="9" w:name="_Toc4673751"/>
      <w:r w:rsidRPr="00624703">
        <w:t>De la disociación.</w:t>
      </w:r>
      <w:bookmarkEnd w:id="9"/>
      <w:r w:rsidRPr="00624703">
        <w:t xml:space="preserve"> </w:t>
      </w:r>
    </w:p>
    <w:p w:rsidR="009A16E4" w:rsidRPr="00624703" w:rsidRDefault="009A16E4" w:rsidP="00624703">
      <w:pPr>
        <w:spacing w:line="360" w:lineRule="auto"/>
        <w:ind w:right="49"/>
        <w:rPr>
          <w:rFonts w:ascii="Palatino Linotype" w:hAnsi="Palatino Linotype"/>
        </w:rPr>
      </w:pPr>
    </w:p>
    <w:p w:rsidR="009A16E4" w:rsidRPr="00624703" w:rsidRDefault="009A16E4" w:rsidP="00624703">
      <w:pPr>
        <w:pStyle w:val="Prrafodelista"/>
        <w:numPr>
          <w:ilvl w:val="0"/>
          <w:numId w:val="1"/>
        </w:numPr>
        <w:spacing w:line="360" w:lineRule="auto"/>
        <w:ind w:left="0" w:right="49" w:firstLine="0"/>
        <w:jc w:val="both"/>
        <w:rPr>
          <w:rFonts w:ascii="Palatino Linotype" w:hAnsi="Palatino Linotype"/>
        </w:rPr>
      </w:pPr>
      <w:r w:rsidRPr="00624703">
        <w:rPr>
          <w:rFonts w:ascii="Palatino Linotype" w:hAnsi="Palatino Linotype"/>
        </w:rPr>
        <w:t xml:space="preserve">Por otro lado, si derivado de la </w:t>
      </w:r>
      <w:r w:rsidR="00E17384" w:rsidRPr="00624703">
        <w:rPr>
          <w:rFonts w:ascii="Palatino Linotype" w:hAnsi="Palatino Linotype"/>
        </w:rPr>
        <w:t xml:space="preserve">información </w:t>
      </w:r>
      <w:r w:rsidRPr="00624703">
        <w:rPr>
          <w:rFonts w:ascii="Palatino Linotype" w:hAnsi="Palatino Linotype"/>
        </w:rPr>
        <w:t xml:space="preserve">que se ordena entregar pudiera existir información de la </w:t>
      </w:r>
      <w:r w:rsidRPr="00624703">
        <w:rPr>
          <w:rFonts w:ascii="Palatino Linotype" w:hAnsi="Palatino Linotype"/>
          <w:b/>
          <w:u w:val="single"/>
        </w:rPr>
        <w:t>Dirección de Seguridad Pública del Ayuntamiento o su equivalente</w:t>
      </w:r>
      <w:r w:rsidRPr="00624703">
        <w:rPr>
          <w:rFonts w:ascii="Palatino Linotype" w:hAnsi="Palatino Linotype"/>
        </w:rPr>
        <w:t>, la cual ponga en riesgo los integrantes derivado de las funciones encomendadas en términos del artículo 21 párrafo noveno de la Constitución Política de los Estados Unidos Mexicanos, de las cuales</w:t>
      </w:r>
      <w:r w:rsidR="00E17384" w:rsidRPr="00624703">
        <w:rPr>
          <w:rFonts w:ascii="Palatino Linotype" w:hAnsi="Palatino Linotype"/>
        </w:rPr>
        <w:t xml:space="preserve"> </w:t>
      </w:r>
      <w:r w:rsidRPr="00624703">
        <w:rPr>
          <w:rFonts w:ascii="Palatino Linotype" w:hAnsi="Palatino Linotype"/>
        </w:rPr>
        <w:t xml:space="preserve">se desprenden entre otras  la prevención de los delitos, investigación y persecución para hacerla efectiva, el </w:t>
      </w:r>
      <w:r w:rsidR="001D2190" w:rsidRPr="00624703">
        <w:rPr>
          <w:rFonts w:ascii="Palatino Linotype" w:hAnsi="Palatino Linotype"/>
        </w:rPr>
        <w:t>Sujeto Obligado</w:t>
      </w:r>
      <w:r w:rsidRPr="00624703">
        <w:rPr>
          <w:rFonts w:ascii="Palatino Linotype" w:hAnsi="Palatino Linotype"/>
          <w:b/>
        </w:rPr>
        <w:t xml:space="preserve"> </w:t>
      </w:r>
      <w:r w:rsidRPr="00624703">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w:t>
      </w:r>
      <w:r w:rsidRPr="00624703">
        <w:rPr>
          <w:rFonts w:ascii="Palatino Linotype" w:hAnsi="Palatino Linotype"/>
        </w:rPr>
        <w:lastRenderedPageBreak/>
        <w:t xml:space="preserve">permitir por su estructura, contenido o grado de desagregación, la identificación individual de los mismos, tal y como lo establece el artículo 4 fracción XVI de la </w:t>
      </w:r>
      <w:r w:rsidRPr="00624703">
        <w:rPr>
          <w:rFonts w:ascii="Palatino Linotype" w:hAnsi="Palatino Linotype"/>
          <w:b/>
        </w:rPr>
        <w:t>Ley de Protección de Datos Personales en Posesión de Sujetos Obligados  del Estado de México y Municipios</w:t>
      </w:r>
      <w:r w:rsidRPr="00624703">
        <w:rPr>
          <w:rFonts w:ascii="Palatino Linotype" w:hAnsi="Palatino Linotype"/>
        </w:rPr>
        <w:t>, que refiere:</w:t>
      </w:r>
    </w:p>
    <w:p w:rsidR="00017A61" w:rsidRDefault="00017A61" w:rsidP="00624703">
      <w:pPr>
        <w:spacing w:line="360" w:lineRule="auto"/>
        <w:ind w:right="49"/>
        <w:jc w:val="both"/>
        <w:rPr>
          <w:rFonts w:ascii="Palatino Linotype" w:hAnsi="Palatino Linotype"/>
          <w:i/>
        </w:rPr>
      </w:pPr>
    </w:p>
    <w:p w:rsidR="00C1591A" w:rsidRDefault="00C1591A" w:rsidP="00624703">
      <w:pPr>
        <w:spacing w:line="360" w:lineRule="auto"/>
        <w:ind w:right="49"/>
        <w:jc w:val="both"/>
        <w:rPr>
          <w:rFonts w:ascii="Palatino Linotype" w:hAnsi="Palatino Linotype"/>
          <w:i/>
        </w:rPr>
      </w:pPr>
    </w:p>
    <w:p w:rsidR="00C1591A" w:rsidRPr="00624703" w:rsidRDefault="00C1591A" w:rsidP="00624703">
      <w:pPr>
        <w:spacing w:line="360" w:lineRule="auto"/>
        <w:ind w:right="49"/>
        <w:jc w:val="both"/>
        <w:rPr>
          <w:rFonts w:ascii="Palatino Linotype" w:hAnsi="Palatino Linotype"/>
          <w:i/>
        </w:rPr>
      </w:pPr>
    </w:p>
    <w:p w:rsidR="009A16E4" w:rsidRPr="00C1591A" w:rsidRDefault="009A16E4" w:rsidP="00C1591A">
      <w:pPr>
        <w:pStyle w:val="Prrafodelista"/>
        <w:tabs>
          <w:tab w:val="left" w:pos="7938"/>
        </w:tabs>
        <w:spacing w:line="360" w:lineRule="auto"/>
        <w:ind w:left="567" w:right="616"/>
        <w:jc w:val="both"/>
        <w:rPr>
          <w:rFonts w:ascii="Palatino Linotype" w:hAnsi="Palatino Linotype"/>
          <w:i/>
          <w:sz w:val="22"/>
        </w:rPr>
      </w:pPr>
      <w:r w:rsidRPr="00C1591A">
        <w:rPr>
          <w:rFonts w:ascii="Palatino Linotype" w:hAnsi="Palatino Linotype"/>
          <w:i/>
          <w:sz w:val="22"/>
        </w:rPr>
        <w:t>“</w:t>
      </w:r>
      <w:r w:rsidRPr="00C1591A">
        <w:rPr>
          <w:rFonts w:ascii="Palatino Linotype" w:hAnsi="Palatino Linotype"/>
          <w:b/>
          <w:i/>
          <w:sz w:val="22"/>
        </w:rPr>
        <w:t>Artículo 4</w:t>
      </w:r>
      <w:r w:rsidRPr="00C1591A">
        <w:rPr>
          <w:rFonts w:ascii="Palatino Linotype" w:hAnsi="Palatino Linotype"/>
          <w:i/>
          <w:sz w:val="22"/>
        </w:rPr>
        <w:t>.- Para los efectos de esta Ley se entenderá por:</w:t>
      </w:r>
    </w:p>
    <w:p w:rsidR="009A16E4" w:rsidRPr="00C1591A" w:rsidRDefault="009A16E4" w:rsidP="00C1591A">
      <w:pPr>
        <w:pStyle w:val="Prrafodelista"/>
        <w:tabs>
          <w:tab w:val="left" w:pos="7938"/>
        </w:tabs>
        <w:spacing w:line="360" w:lineRule="auto"/>
        <w:ind w:left="567" w:right="616"/>
        <w:jc w:val="both"/>
        <w:rPr>
          <w:rFonts w:ascii="Palatino Linotype" w:hAnsi="Palatino Linotype"/>
          <w:i/>
          <w:sz w:val="22"/>
        </w:rPr>
      </w:pPr>
      <w:r w:rsidRPr="00C1591A">
        <w:rPr>
          <w:rFonts w:ascii="Palatino Linotype" w:hAnsi="Palatino Linotype"/>
          <w:i/>
          <w:sz w:val="22"/>
        </w:rPr>
        <w:t>…</w:t>
      </w:r>
    </w:p>
    <w:p w:rsidR="009A16E4" w:rsidRPr="00C1591A" w:rsidRDefault="009A16E4" w:rsidP="00C1591A">
      <w:pPr>
        <w:pStyle w:val="Prrafodelista"/>
        <w:tabs>
          <w:tab w:val="left" w:pos="7938"/>
        </w:tabs>
        <w:spacing w:line="360" w:lineRule="auto"/>
        <w:ind w:left="567" w:right="616"/>
        <w:jc w:val="both"/>
        <w:rPr>
          <w:rFonts w:ascii="Palatino Linotype" w:hAnsi="Palatino Linotype"/>
          <w:i/>
          <w:sz w:val="22"/>
        </w:rPr>
      </w:pPr>
      <w:r w:rsidRPr="00C1591A">
        <w:rPr>
          <w:rFonts w:ascii="Palatino Linotype" w:hAnsi="Palatino Linotype"/>
          <w:b/>
          <w:i/>
          <w:sz w:val="22"/>
        </w:rPr>
        <w:t>XVI. Disociación</w:t>
      </w:r>
      <w:r w:rsidRPr="00C1591A">
        <w:rPr>
          <w:rFonts w:ascii="Palatino Linotype" w:hAnsi="Palatino Linotype"/>
          <w:i/>
          <w:sz w:val="22"/>
        </w:rPr>
        <w:t>: al procedimiento por el que los datos personales no pueden asociarse a la o el titular, ni permitir por su estructura, contenido o grado de desagregación, la identificación individual del m</w:t>
      </w:r>
      <w:r w:rsidR="0001698D" w:rsidRPr="00C1591A">
        <w:rPr>
          <w:rFonts w:ascii="Palatino Linotype" w:hAnsi="Palatino Linotype"/>
          <w:i/>
          <w:sz w:val="22"/>
        </w:rPr>
        <w:t xml:space="preserve"> </w:t>
      </w:r>
      <w:r w:rsidRPr="00C1591A">
        <w:rPr>
          <w:rFonts w:ascii="Palatino Linotype" w:hAnsi="Palatino Linotype"/>
          <w:i/>
          <w:sz w:val="22"/>
        </w:rPr>
        <w:t>ismo;”</w:t>
      </w:r>
    </w:p>
    <w:p w:rsidR="00022D14" w:rsidRPr="00624703" w:rsidRDefault="00022D14" w:rsidP="00624703">
      <w:pPr>
        <w:pStyle w:val="Prrafodelista"/>
        <w:tabs>
          <w:tab w:val="left" w:pos="7938"/>
        </w:tabs>
        <w:spacing w:line="360" w:lineRule="auto"/>
        <w:ind w:left="142" w:right="49"/>
        <w:jc w:val="both"/>
        <w:rPr>
          <w:rFonts w:ascii="Palatino Linotype" w:hAnsi="Palatino Linotype"/>
          <w:i/>
        </w:rPr>
      </w:pPr>
    </w:p>
    <w:p w:rsidR="009A16E4" w:rsidRPr="00624703" w:rsidRDefault="009A16E4" w:rsidP="00624703">
      <w:pPr>
        <w:pStyle w:val="Prrafodelista"/>
        <w:numPr>
          <w:ilvl w:val="0"/>
          <w:numId w:val="1"/>
        </w:numPr>
        <w:spacing w:line="360" w:lineRule="auto"/>
        <w:ind w:left="0" w:right="49" w:firstLine="0"/>
        <w:jc w:val="both"/>
        <w:rPr>
          <w:rFonts w:ascii="Palatino Linotype" w:hAnsi="Palatino Linotype"/>
        </w:rPr>
      </w:pPr>
      <w:r w:rsidRPr="00624703">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w:t>
      </w:r>
      <w:r w:rsidR="00922379" w:rsidRPr="00624703">
        <w:rPr>
          <w:rFonts w:ascii="Palatino Linotype" w:hAnsi="Palatino Linotype"/>
        </w:rPr>
        <w:t>erables de acuerdo al cargo de S</w:t>
      </w:r>
      <w:r w:rsidRPr="00624703">
        <w:rPr>
          <w:rFonts w:ascii="Palatino Linotype" w:hAnsi="Palatino Linotype"/>
        </w:rPr>
        <w:t>eguridad Municipal, en términos de lo antes expuesto y llevando a cabo el procedimiento ya enunciado.</w:t>
      </w:r>
    </w:p>
    <w:p w:rsidR="009A16E4" w:rsidRPr="00624703" w:rsidRDefault="009A16E4" w:rsidP="00624703">
      <w:pPr>
        <w:pStyle w:val="Prrafodelista"/>
        <w:spacing w:line="360" w:lineRule="auto"/>
        <w:ind w:left="0" w:right="49"/>
        <w:jc w:val="both"/>
        <w:rPr>
          <w:rFonts w:ascii="Palatino Linotype" w:hAnsi="Palatino Linotype"/>
        </w:rPr>
      </w:pPr>
    </w:p>
    <w:p w:rsidR="001D2190" w:rsidRPr="00624703" w:rsidRDefault="009A16E4" w:rsidP="00624703">
      <w:pPr>
        <w:pStyle w:val="Prrafodelista"/>
        <w:numPr>
          <w:ilvl w:val="0"/>
          <w:numId w:val="1"/>
        </w:numPr>
        <w:spacing w:line="360" w:lineRule="auto"/>
        <w:ind w:left="0" w:right="49" w:firstLine="0"/>
        <w:jc w:val="both"/>
        <w:rPr>
          <w:rFonts w:ascii="Palatino Linotype" w:eastAsia="Calibri" w:hAnsi="Palatino Linotype" w:cs="Arial"/>
        </w:rPr>
      </w:pPr>
      <w:r w:rsidRPr="00624703">
        <w:rPr>
          <w:rFonts w:ascii="Palatino Linotype" w:hAnsi="Palatino Linotype"/>
        </w:rPr>
        <w:t xml:space="preserve">En ese sentido </w:t>
      </w:r>
      <w:r w:rsidR="001D2190" w:rsidRPr="00624703">
        <w:rPr>
          <w:rFonts w:ascii="Palatino Linotype" w:hAnsi="Palatino Linotype"/>
        </w:rPr>
        <w:t>el Sujeto Obligado debería proporcionar la documentación</w:t>
      </w:r>
      <w:r w:rsidRPr="00624703">
        <w:rPr>
          <w:rFonts w:ascii="Palatino Linotype" w:hAnsi="Palatino Linotype"/>
        </w:rPr>
        <w:t xml:space="preserve">, con los datos disociados </w:t>
      </w:r>
      <w:r w:rsidR="001D2190" w:rsidRPr="00624703">
        <w:rPr>
          <w:rFonts w:ascii="Palatino Linotype" w:hAnsi="Palatino Linotype"/>
        </w:rPr>
        <w:t>consistente</w:t>
      </w:r>
      <w:r w:rsidRPr="00624703">
        <w:rPr>
          <w:rFonts w:ascii="Palatino Linotype" w:hAnsi="Palatino Linotype"/>
        </w:rPr>
        <w:t xml:space="preserve"> en una lista de servidores públicos por orden alfabético sin especificar cargos y el tabulador de sueldos en donde sea visible el cargo y la remuneración de los servidores públicos adscritos a la Dirección </w:t>
      </w:r>
      <w:r w:rsidR="00E17384" w:rsidRPr="00624703">
        <w:rPr>
          <w:rFonts w:ascii="Palatino Linotype" w:hAnsi="Palatino Linotype"/>
        </w:rPr>
        <w:t xml:space="preserve">de </w:t>
      </w:r>
      <w:r w:rsidR="00E17384" w:rsidRPr="00624703">
        <w:rPr>
          <w:rFonts w:ascii="Palatino Linotype" w:hAnsi="Palatino Linotype"/>
        </w:rPr>
        <w:lastRenderedPageBreak/>
        <w:t>Seguridad Pública del Ayuntamiento</w:t>
      </w:r>
      <w:r w:rsidR="001D2190" w:rsidRPr="00624703">
        <w:rPr>
          <w:rFonts w:ascii="Palatino Linotype" w:hAnsi="Palatino Linotype"/>
        </w:rPr>
        <w:t xml:space="preserve"> </w:t>
      </w:r>
      <w:r w:rsidR="00E17384" w:rsidRPr="00624703">
        <w:rPr>
          <w:rFonts w:ascii="Palatino Linotype" w:hAnsi="Palatino Linotype"/>
        </w:rPr>
        <w:t>o su</w:t>
      </w:r>
      <w:r w:rsidR="001D2190" w:rsidRPr="00624703">
        <w:rPr>
          <w:rFonts w:ascii="Palatino Linotype" w:hAnsi="Palatino Linotype"/>
        </w:rPr>
        <w:t xml:space="preserve"> equivalente; ya que </w:t>
      </w:r>
      <w:r w:rsidR="001D2190" w:rsidRPr="00624703">
        <w:rPr>
          <w:rFonts w:ascii="Palatino Linotype" w:hAnsi="Palatino Linotype"/>
          <w:color w:val="000000" w:themeColor="text1"/>
        </w:rPr>
        <w:t>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1D2190" w:rsidRPr="00624703" w:rsidRDefault="001D2190"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1D2190" w:rsidRPr="00624703" w:rsidRDefault="001D2190" w:rsidP="00624703">
      <w:pPr>
        <w:pStyle w:val="Prrafodelista"/>
        <w:spacing w:line="360" w:lineRule="auto"/>
        <w:ind w:right="49"/>
        <w:rPr>
          <w:rFonts w:ascii="Palatino Linotype" w:hAnsi="Palatino Linotype"/>
          <w:b/>
        </w:rPr>
      </w:pPr>
    </w:p>
    <w:p w:rsidR="00017A61" w:rsidRPr="00624703" w:rsidRDefault="00017A61" w:rsidP="00624703">
      <w:pPr>
        <w:spacing w:line="360" w:lineRule="auto"/>
        <w:ind w:right="49"/>
        <w:rPr>
          <w:rFonts w:ascii="Palatino Linotype" w:hAnsi="Palatino Linotype"/>
          <w:b/>
        </w:rPr>
      </w:pPr>
    </w:p>
    <w:p w:rsidR="00CC0EC5" w:rsidRPr="00624703" w:rsidRDefault="00A46385" w:rsidP="0062470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rPr>
          <w:rFonts w:ascii="Palatino Linotype" w:hAnsi="Palatino Linotype" w:cs="Arial"/>
        </w:rPr>
      </w:pPr>
      <w:r w:rsidRPr="00624703">
        <w:rPr>
          <w:rFonts w:ascii="Palatino Linotype" w:hAnsi="Palatino Linotype"/>
          <w:b/>
        </w:rPr>
        <w:t xml:space="preserve">                                  </w:t>
      </w:r>
      <w:r w:rsidR="00CC0EC5" w:rsidRPr="00624703">
        <w:rPr>
          <w:rFonts w:ascii="Palatino Linotype" w:hAnsi="Palatino Linotype"/>
          <w:b/>
        </w:rPr>
        <w:t>JOSÉ GUADALUPE LUNA HERNÁNDEZ</w:t>
      </w:r>
    </w:p>
    <w:p w:rsidR="00022D14" w:rsidRDefault="00CC0EC5" w:rsidP="00624703">
      <w:pPr>
        <w:spacing w:line="360" w:lineRule="auto"/>
        <w:ind w:right="49"/>
        <w:jc w:val="center"/>
        <w:rPr>
          <w:rFonts w:ascii="Palatino Linotype" w:hAnsi="Palatino Linotype"/>
          <w:b/>
        </w:rPr>
      </w:pPr>
      <w:r w:rsidRPr="00624703">
        <w:rPr>
          <w:rFonts w:ascii="Palatino Linotype" w:hAnsi="Palatino Linotype"/>
          <w:b/>
        </w:rPr>
        <w:t>COMISIONADO</w:t>
      </w:r>
    </w:p>
    <w:p w:rsidR="009A16E4" w:rsidRPr="00624703" w:rsidRDefault="009A16E4" w:rsidP="00624703">
      <w:pPr>
        <w:spacing w:line="360" w:lineRule="auto"/>
        <w:ind w:right="49"/>
        <w:jc w:val="center"/>
        <w:rPr>
          <w:rFonts w:ascii="Palatino Linotype" w:hAnsi="Palatino Linotype"/>
          <w:b/>
        </w:rPr>
      </w:pPr>
    </w:p>
    <w:p w:rsidR="0001698D" w:rsidRPr="00624703" w:rsidRDefault="0001698D" w:rsidP="00624703">
      <w:pPr>
        <w:spacing w:line="360" w:lineRule="auto"/>
        <w:ind w:right="49"/>
        <w:jc w:val="center"/>
        <w:rPr>
          <w:rFonts w:ascii="Palatino Linotype" w:hAnsi="Palatino Linotype"/>
          <w:b/>
        </w:rPr>
      </w:pPr>
    </w:p>
    <w:p w:rsidR="0001698D" w:rsidRPr="00624703" w:rsidRDefault="0001698D" w:rsidP="00624703">
      <w:pPr>
        <w:spacing w:line="360" w:lineRule="auto"/>
        <w:ind w:right="49"/>
        <w:jc w:val="center"/>
        <w:rPr>
          <w:rFonts w:ascii="Palatino Linotype" w:hAnsi="Palatino Linotype"/>
          <w:b/>
        </w:rPr>
      </w:pPr>
    </w:p>
    <w:p w:rsidR="00F511B5" w:rsidRPr="00624703" w:rsidRDefault="00017A61" w:rsidP="00624703">
      <w:pPr>
        <w:spacing w:line="360" w:lineRule="auto"/>
        <w:ind w:right="49"/>
        <w:jc w:val="right"/>
        <w:rPr>
          <w:rFonts w:ascii="Palatino Linotype" w:hAnsi="Palatino Linotype"/>
        </w:rPr>
      </w:pPr>
      <w:r w:rsidRPr="00624703">
        <w:rPr>
          <w:rFonts w:ascii="Palatino Linotype" w:hAnsi="Palatino Linotype"/>
        </w:rPr>
        <w:t>JGLH/JVTC</w:t>
      </w:r>
    </w:p>
    <w:sectPr w:rsidR="00F511B5" w:rsidRPr="00624703" w:rsidSect="00017A61">
      <w:headerReference w:type="even" r:id="rId8"/>
      <w:headerReference w:type="default" r:id="rId9"/>
      <w:footerReference w:type="default" r:id="rId10"/>
      <w:headerReference w:type="first" r:id="rId11"/>
      <w:pgSz w:w="12240" w:h="15840" w:code="1"/>
      <w:pgMar w:top="2268" w:right="1701" w:bottom="22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CA" w:rsidRDefault="006867CA" w:rsidP="00ED7332">
      <w:r>
        <w:separator/>
      </w:r>
    </w:p>
  </w:endnote>
  <w:endnote w:type="continuationSeparator" w:id="0">
    <w:p w:rsidR="006867CA" w:rsidRDefault="006867CA"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1D50E4">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1D50E4">
              <w:rPr>
                <w:rFonts w:ascii="Palatino Linotype" w:hAnsi="Palatino Linotype"/>
                <w:b/>
                <w:bCs/>
                <w:noProof/>
                <w:sz w:val="20"/>
                <w:szCs w:val="20"/>
              </w:rPr>
              <w:t>9</w:t>
            </w:r>
            <w:r w:rsidRPr="0052203D">
              <w:rPr>
                <w:rFonts w:ascii="Palatino Linotype" w:hAnsi="Palatino Linotype"/>
                <w:b/>
                <w:bCs/>
                <w:sz w:val="20"/>
                <w:szCs w:val="20"/>
              </w:rPr>
              <w:fldChar w:fldCharType="end"/>
            </w:r>
          </w:p>
        </w:sdtContent>
      </w:sdt>
    </w:sdtContent>
  </w:sdt>
  <w:p w:rsidR="00951E8B" w:rsidRDefault="006867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CA" w:rsidRDefault="006867CA" w:rsidP="00ED7332">
      <w:r>
        <w:separator/>
      </w:r>
    </w:p>
  </w:footnote>
  <w:footnote w:type="continuationSeparator" w:id="0">
    <w:p w:rsidR="006867CA" w:rsidRDefault="006867CA"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67C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67C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6867CA">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1FBD"/>
    <w:multiLevelType w:val="hybridMultilevel"/>
    <w:tmpl w:val="ACA6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E641F14"/>
    <w:multiLevelType w:val="hybridMultilevel"/>
    <w:tmpl w:val="F2E03318"/>
    <w:lvl w:ilvl="0" w:tplc="7B1AF3AC">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1698D"/>
    <w:rsid w:val="00017A61"/>
    <w:rsid w:val="00022D14"/>
    <w:rsid w:val="000328AE"/>
    <w:rsid w:val="000350F9"/>
    <w:rsid w:val="00045EDE"/>
    <w:rsid w:val="00071C0E"/>
    <w:rsid w:val="00074B24"/>
    <w:rsid w:val="00075028"/>
    <w:rsid w:val="000779F9"/>
    <w:rsid w:val="00091207"/>
    <w:rsid w:val="0009296B"/>
    <w:rsid w:val="000963B3"/>
    <w:rsid w:val="00096BFB"/>
    <w:rsid w:val="00097AD7"/>
    <w:rsid w:val="000B0E25"/>
    <w:rsid w:val="000C7056"/>
    <w:rsid w:val="000D714D"/>
    <w:rsid w:val="000E7EE8"/>
    <w:rsid w:val="000F1159"/>
    <w:rsid w:val="000F2AC8"/>
    <w:rsid w:val="00103510"/>
    <w:rsid w:val="001130D3"/>
    <w:rsid w:val="00115126"/>
    <w:rsid w:val="00122FB9"/>
    <w:rsid w:val="00132B03"/>
    <w:rsid w:val="001337C6"/>
    <w:rsid w:val="0015416E"/>
    <w:rsid w:val="0016141F"/>
    <w:rsid w:val="00161D60"/>
    <w:rsid w:val="00170FB4"/>
    <w:rsid w:val="00173575"/>
    <w:rsid w:val="00185218"/>
    <w:rsid w:val="00187C5A"/>
    <w:rsid w:val="00191742"/>
    <w:rsid w:val="001A2F06"/>
    <w:rsid w:val="001C2D4D"/>
    <w:rsid w:val="001C42A5"/>
    <w:rsid w:val="001C6C91"/>
    <w:rsid w:val="001D2190"/>
    <w:rsid w:val="001D50E4"/>
    <w:rsid w:val="001E089B"/>
    <w:rsid w:val="001E2E42"/>
    <w:rsid w:val="001E2F7E"/>
    <w:rsid w:val="001E6151"/>
    <w:rsid w:val="001F0577"/>
    <w:rsid w:val="00203272"/>
    <w:rsid w:val="00216C90"/>
    <w:rsid w:val="002252EC"/>
    <w:rsid w:val="00230BB9"/>
    <w:rsid w:val="002528A4"/>
    <w:rsid w:val="00253251"/>
    <w:rsid w:val="00255331"/>
    <w:rsid w:val="00255EAA"/>
    <w:rsid w:val="0026475A"/>
    <w:rsid w:val="0026502D"/>
    <w:rsid w:val="00266515"/>
    <w:rsid w:val="00274977"/>
    <w:rsid w:val="002813E1"/>
    <w:rsid w:val="00290D96"/>
    <w:rsid w:val="002A3764"/>
    <w:rsid w:val="002A3A54"/>
    <w:rsid w:val="002D1347"/>
    <w:rsid w:val="002E4EAD"/>
    <w:rsid w:val="002F0112"/>
    <w:rsid w:val="002F6C6B"/>
    <w:rsid w:val="003061F2"/>
    <w:rsid w:val="00313DBF"/>
    <w:rsid w:val="00315C7A"/>
    <w:rsid w:val="003331EE"/>
    <w:rsid w:val="00341275"/>
    <w:rsid w:val="00343467"/>
    <w:rsid w:val="003503B0"/>
    <w:rsid w:val="003569D1"/>
    <w:rsid w:val="00364D1A"/>
    <w:rsid w:val="00364E7F"/>
    <w:rsid w:val="00366D22"/>
    <w:rsid w:val="003672A4"/>
    <w:rsid w:val="00374684"/>
    <w:rsid w:val="003765B0"/>
    <w:rsid w:val="0038405F"/>
    <w:rsid w:val="003A43CE"/>
    <w:rsid w:val="003A68B3"/>
    <w:rsid w:val="003C68B6"/>
    <w:rsid w:val="003D1215"/>
    <w:rsid w:val="003D513F"/>
    <w:rsid w:val="003F69B0"/>
    <w:rsid w:val="003F71B7"/>
    <w:rsid w:val="00421FE8"/>
    <w:rsid w:val="004252DB"/>
    <w:rsid w:val="00430106"/>
    <w:rsid w:val="00437134"/>
    <w:rsid w:val="0044164A"/>
    <w:rsid w:val="00442007"/>
    <w:rsid w:val="0044710A"/>
    <w:rsid w:val="00447D29"/>
    <w:rsid w:val="00460BFA"/>
    <w:rsid w:val="00482790"/>
    <w:rsid w:val="004915D5"/>
    <w:rsid w:val="004A6948"/>
    <w:rsid w:val="004A75D5"/>
    <w:rsid w:val="004C4360"/>
    <w:rsid w:val="004D1629"/>
    <w:rsid w:val="004E1A1B"/>
    <w:rsid w:val="004F719D"/>
    <w:rsid w:val="004F7289"/>
    <w:rsid w:val="0050137A"/>
    <w:rsid w:val="00503141"/>
    <w:rsid w:val="0052203D"/>
    <w:rsid w:val="00557948"/>
    <w:rsid w:val="00577A92"/>
    <w:rsid w:val="00586E51"/>
    <w:rsid w:val="005A09A1"/>
    <w:rsid w:val="005A55B8"/>
    <w:rsid w:val="005E6E1A"/>
    <w:rsid w:val="00614828"/>
    <w:rsid w:val="00624703"/>
    <w:rsid w:val="00630699"/>
    <w:rsid w:val="00633DCF"/>
    <w:rsid w:val="00635965"/>
    <w:rsid w:val="0063753D"/>
    <w:rsid w:val="006409B3"/>
    <w:rsid w:val="00642F7C"/>
    <w:rsid w:val="00644DC3"/>
    <w:rsid w:val="00647C92"/>
    <w:rsid w:val="006500A4"/>
    <w:rsid w:val="00651B65"/>
    <w:rsid w:val="006867CA"/>
    <w:rsid w:val="00696E58"/>
    <w:rsid w:val="006B62F4"/>
    <w:rsid w:val="006E2911"/>
    <w:rsid w:val="006F3E9E"/>
    <w:rsid w:val="00711276"/>
    <w:rsid w:val="007226CE"/>
    <w:rsid w:val="00743244"/>
    <w:rsid w:val="007455F7"/>
    <w:rsid w:val="0074731F"/>
    <w:rsid w:val="007631ED"/>
    <w:rsid w:val="00763471"/>
    <w:rsid w:val="00774A7F"/>
    <w:rsid w:val="0077794D"/>
    <w:rsid w:val="007900F4"/>
    <w:rsid w:val="007A4E77"/>
    <w:rsid w:val="007A69A1"/>
    <w:rsid w:val="007A6A25"/>
    <w:rsid w:val="007A76AC"/>
    <w:rsid w:val="007B08CC"/>
    <w:rsid w:val="007B194A"/>
    <w:rsid w:val="007B1C16"/>
    <w:rsid w:val="007B70C2"/>
    <w:rsid w:val="007C25E8"/>
    <w:rsid w:val="007E20E1"/>
    <w:rsid w:val="007F5BB2"/>
    <w:rsid w:val="007F7E66"/>
    <w:rsid w:val="007F7F59"/>
    <w:rsid w:val="008018B9"/>
    <w:rsid w:val="008037FF"/>
    <w:rsid w:val="008103A5"/>
    <w:rsid w:val="0081168F"/>
    <w:rsid w:val="00811FF8"/>
    <w:rsid w:val="00835B3B"/>
    <w:rsid w:val="008517AF"/>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D1C7B"/>
    <w:rsid w:val="008F1F4E"/>
    <w:rsid w:val="008F3587"/>
    <w:rsid w:val="0090198C"/>
    <w:rsid w:val="00903879"/>
    <w:rsid w:val="00922379"/>
    <w:rsid w:val="009332A7"/>
    <w:rsid w:val="00940BE8"/>
    <w:rsid w:val="00941946"/>
    <w:rsid w:val="00952EB7"/>
    <w:rsid w:val="00962AB3"/>
    <w:rsid w:val="0097464F"/>
    <w:rsid w:val="0099042C"/>
    <w:rsid w:val="009A16E4"/>
    <w:rsid w:val="009B59F6"/>
    <w:rsid w:val="009D5E66"/>
    <w:rsid w:val="009E3209"/>
    <w:rsid w:val="009E7D34"/>
    <w:rsid w:val="00A011F0"/>
    <w:rsid w:val="00A249AB"/>
    <w:rsid w:val="00A31B0C"/>
    <w:rsid w:val="00A3395D"/>
    <w:rsid w:val="00A36FB9"/>
    <w:rsid w:val="00A410B3"/>
    <w:rsid w:val="00A43D47"/>
    <w:rsid w:val="00A46385"/>
    <w:rsid w:val="00A527F0"/>
    <w:rsid w:val="00A7538B"/>
    <w:rsid w:val="00A94904"/>
    <w:rsid w:val="00AA4703"/>
    <w:rsid w:val="00AE0067"/>
    <w:rsid w:val="00AE112C"/>
    <w:rsid w:val="00AE1FD6"/>
    <w:rsid w:val="00AF61AB"/>
    <w:rsid w:val="00AF649B"/>
    <w:rsid w:val="00B06084"/>
    <w:rsid w:val="00B079D3"/>
    <w:rsid w:val="00B1415F"/>
    <w:rsid w:val="00B305DB"/>
    <w:rsid w:val="00B32143"/>
    <w:rsid w:val="00B35501"/>
    <w:rsid w:val="00B544F7"/>
    <w:rsid w:val="00B64221"/>
    <w:rsid w:val="00B82DF9"/>
    <w:rsid w:val="00B847C6"/>
    <w:rsid w:val="00B951D9"/>
    <w:rsid w:val="00B97430"/>
    <w:rsid w:val="00BA7541"/>
    <w:rsid w:val="00BC23A5"/>
    <w:rsid w:val="00BD7E40"/>
    <w:rsid w:val="00BE0306"/>
    <w:rsid w:val="00BE1AF8"/>
    <w:rsid w:val="00C04ABD"/>
    <w:rsid w:val="00C1591A"/>
    <w:rsid w:val="00C16A3B"/>
    <w:rsid w:val="00C237B4"/>
    <w:rsid w:val="00C35411"/>
    <w:rsid w:val="00C36B1F"/>
    <w:rsid w:val="00C37D34"/>
    <w:rsid w:val="00C50FC5"/>
    <w:rsid w:val="00C648C5"/>
    <w:rsid w:val="00C64CFF"/>
    <w:rsid w:val="00C7087D"/>
    <w:rsid w:val="00C74DDE"/>
    <w:rsid w:val="00C819C8"/>
    <w:rsid w:val="00C8234C"/>
    <w:rsid w:val="00C87E9E"/>
    <w:rsid w:val="00C96160"/>
    <w:rsid w:val="00CA5AFE"/>
    <w:rsid w:val="00CB061F"/>
    <w:rsid w:val="00CB13A7"/>
    <w:rsid w:val="00CB19F7"/>
    <w:rsid w:val="00CB3643"/>
    <w:rsid w:val="00CC0EC5"/>
    <w:rsid w:val="00CD3F2D"/>
    <w:rsid w:val="00CD617D"/>
    <w:rsid w:val="00CE058D"/>
    <w:rsid w:val="00CF16BC"/>
    <w:rsid w:val="00D06241"/>
    <w:rsid w:val="00D075E8"/>
    <w:rsid w:val="00D0774E"/>
    <w:rsid w:val="00D212CB"/>
    <w:rsid w:val="00D349C5"/>
    <w:rsid w:val="00D37C48"/>
    <w:rsid w:val="00D420C4"/>
    <w:rsid w:val="00D570BC"/>
    <w:rsid w:val="00D71039"/>
    <w:rsid w:val="00D74377"/>
    <w:rsid w:val="00D75081"/>
    <w:rsid w:val="00D976D8"/>
    <w:rsid w:val="00D97CBF"/>
    <w:rsid w:val="00DB5AF7"/>
    <w:rsid w:val="00DC3B83"/>
    <w:rsid w:val="00DC3D1C"/>
    <w:rsid w:val="00DC613F"/>
    <w:rsid w:val="00DE28AC"/>
    <w:rsid w:val="00DE647C"/>
    <w:rsid w:val="00DE7C9B"/>
    <w:rsid w:val="00DE7DF6"/>
    <w:rsid w:val="00E042EC"/>
    <w:rsid w:val="00E043DE"/>
    <w:rsid w:val="00E06C70"/>
    <w:rsid w:val="00E12C1D"/>
    <w:rsid w:val="00E17384"/>
    <w:rsid w:val="00E25072"/>
    <w:rsid w:val="00E30652"/>
    <w:rsid w:val="00E4540E"/>
    <w:rsid w:val="00E60C19"/>
    <w:rsid w:val="00E67744"/>
    <w:rsid w:val="00E80889"/>
    <w:rsid w:val="00EA4216"/>
    <w:rsid w:val="00EA734D"/>
    <w:rsid w:val="00EB46CE"/>
    <w:rsid w:val="00EB46D9"/>
    <w:rsid w:val="00EB6A73"/>
    <w:rsid w:val="00EB7AA0"/>
    <w:rsid w:val="00EB7E75"/>
    <w:rsid w:val="00EC781B"/>
    <w:rsid w:val="00ED2F56"/>
    <w:rsid w:val="00ED5776"/>
    <w:rsid w:val="00ED7332"/>
    <w:rsid w:val="00EE0D26"/>
    <w:rsid w:val="00EE3F52"/>
    <w:rsid w:val="00EF2C52"/>
    <w:rsid w:val="00EF4D4D"/>
    <w:rsid w:val="00EF7BFC"/>
    <w:rsid w:val="00F15D14"/>
    <w:rsid w:val="00F26370"/>
    <w:rsid w:val="00F3413E"/>
    <w:rsid w:val="00F36639"/>
    <w:rsid w:val="00F436A4"/>
    <w:rsid w:val="00F511B5"/>
    <w:rsid w:val="00F56E5B"/>
    <w:rsid w:val="00F63F46"/>
    <w:rsid w:val="00F7127D"/>
    <w:rsid w:val="00F71FF7"/>
    <w:rsid w:val="00F73EA1"/>
    <w:rsid w:val="00F742C0"/>
    <w:rsid w:val="00F75AE7"/>
    <w:rsid w:val="00F77503"/>
    <w:rsid w:val="00F95E27"/>
    <w:rsid w:val="00FB534E"/>
    <w:rsid w:val="00FC0B18"/>
    <w:rsid w:val="00FC148F"/>
    <w:rsid w:val="00FD78FB"/>
    <w:rsid w:val="00FE3075"/>
    <w:rsid w:val="00FE5FB6"/>
    <w:rsid w:val="00FE7484"/>
    <w:rsid w:val="00FF3D64"/>
    <w:rsid w:val="00FF4B33"/>
    <w:rsid w:val="00FF4D2D"/>
    <w:rsid w:val="00FF6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D97CBF"/>
    <w:pPr>
      <w:keepNext/>
      <w:keepLines/>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3"/>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D97CBF"/>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5E46-AD7F-4A81-BBB7-5FBEA4E0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1749</Words>
  <Characters>9620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2019-04-29T20:16:00Z</cp:lastPrinted>
  <dcterms:created xsi:type="dcterms:W3CDTF">2019-08-20T23:23:00Z</dcterms:created>
  <dcterms:modified xsi:type="dcterms:W3CDTF">2019-08-20T23:23:00Z</dcterms:modified>
</cp:coreProperties>
</file>